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98" w:rsidRPr="00255EB3" w:rsidRDefault="00F3149D" w:rsidP="00726D98">
      <w:pPr>
        <w:rPr>
          <w:rFonts w:ascii="Arial" w:hAnsi="Arial" w:cs="Arial"/>
          <w:b/>
          <w:sz w:val="20"/>
          <w:szCs w:val="20"/>
        </w:rPr>
      </w:pPr>
      <w:bookmarkStart w:id="0" w:name="_GoBack"/>
      <w:bookmarkEnd w:id="0"/>
      <w:r w:rsidRPr="00255EB3">
        <w:rPr>
          <w:rFonts w:ascii="Arial" w:hAnsi="Arial" w:cs="Arial"/>
          <w:b/>
          <w:sz w:val="20"/>
          <w:szCs w:val="20"/>
        </w:rPr>
        <w:t xml:space="preserve">19 February </w:t>
      </w:r>
      <w:r w:rsidR="00726D98" w:rsidRPr="00255EB3">
        <w:rPr>
          <w:rFonts w:ascii="Arial" w:hAnsi="Arial" w:cs="Arial"/>
          <w:b/>
          <w:sz w:val="20"/>
          <w:szCs w:val="20"/>
        </w:rPr>
        <w:t>2015</w:t>
      </w:r>
      <w:r w:rsidR="00255EB3" w:rsidRPr="00255EB3">
        <w:rPr>
          <w:rFonts w:ascii="Arial" w:hAnsi="Arial" w:cs="Arial"/>
          <w:b/>
          <w:sz w:val="20"/>
          <w:szCs w:val="20"/>
        </w:rPr>
        <w:t xml:space="preserve"> – embargoed until 9 pm NZ time</w:t>
      </w:r>
    </w:p>
    <w:p w:rsidR="00251742" w:rsidRPr="005351F9" w:rsidRDefault="00251742" w:rsidP="00251742">
      <w:pPr>
        <w:jc w:val="center"/>
        <w:rPr>
          <w:rFonts w:ascii="Arial" w:hAnsi="Arial" w:cs="Arial"/>
          <w:b/>
          <w:sz w:val="20"/>
          <w:szCs w:val="20"/>
        </w:rPr>
      </w:pPr>
      <w:r w:rsidRPr="005351F9">
        <w:rPr>
          <w:rFonts w:ascii="Arial" w:hAnsi="Arial" w:cs="Arial"/>
          <w:b/>
          <w:sz w:val="20"/>
          <w:szCs w:val="20"/>
        </w:rPr>
        <w:t>Oak Finance</w:t>
      </w:r>
      <w:r w:rsidR="00D806A9" w:rsidRPr="005351F9">
        <w:rPr>
          <w:rFonts w:ascii="Arial" w:hAnsi="Arial" w:cs="Arial"/>
          <w:b/>
          <w:sz w:val="20"/>
          <w:szCs w:val="20"/>
        </w:rPr>
        <w:t xml:space="preserve"> and </w:t>
      </w:r>
      <w:r w:rsidR="004D67F3" w:rsidRPr="005351F9">
        <w:rPr>
          <w:rFonts w:ascii="Arial" w:hAnsi="Arial" w:cs="Arial"/>
          <w:b/>
          <w:sz w:val="20"/>
          <w:szCs w:val="20"/>
        </w:rPr>
        <w:t>Banco Espírito Santo</w:t>
      </w:r>
    </w:p>
    <w:p w:rsidR="00A50DA5" w:rsidRPr="005351F9" w:rsidRDefault="00255EB3" w:rsidP="003C68B5">
      <w:pPr>
        <w:tabs>
          <w:tab w:val="left" w:pos="5954"/>
        </w:tabs>
        <w:jc w:val="center"/>
        <w:rPr>
          <w:rFonts w:ascii="Arial" w:hAnsi="Arial" w:cs="Arial"/>
          <w:b/>
          <w:sz w:val="20"/>
          <w:szCs w:val="20"/>
        </w:rPr>
      </w:pPr>
      <w:r>
        <w:rPr>
          <w:rFonts w:ascii="Arial" w:hAnsi="Arial" w:cs="Arial"/>
          <w:b/>
          <w:sz w:val="20"/>
          <w:szCs w:val="20"/>
        </w:rPr>
        <w:t xml:space="preserve">NZ Super Fund </w:t>
      </w:r>
      <w:r w:rsidR="000674EC" w:rsidRPr="005351F9">
        <w:rPr>
          <w:rFonts w:ascii="Arial" w:hAnsi="Arial" w:cs="Arial"/>
          <w:b/>
          <w:sz w:val="20"/>
          <w:szCs w:val="20"/>
        </w:rPr>
        <w:t xml:space="preserve">Media Backgrounder - </w:t>
      </w:r>
      <w:r w:rsidR="00D806A9" w:rsidRPr="005351F9">
        <w:rPr>
          <w:rFonts w:ascii="Arial" w:hAnsi="Arial" w:cs="Arial"/>
          <w:b/>
          <w:sz w:val="20"/>
          <w:szCs w:val="20"/>
        </w:rPr>
        <w:t>Freque</w:t>
      </w:r>
      <w:r w:rsidR="004D67F3" w:rsidRPr="005351F9">
        <w:rPr>
          <w:rFonts w:ascii="Arial" w:hAnsi="Arial" w:cs="Arial"/>
          <w:b/>
          <w:sz w:val="20"/>
          <w:szCs w:val="20"/>
        </w:rPr>
        <w:t>ntly Asked Questions</w:t>
      </w:r>
    </w:p>
    <w:p w:rsidR="00235672" w:rsidRPr="005351F9" w:rsidRDefault="00235672" w:rsidP="00B85A35">
      <w:pPr>
        <w:spacing w:line="240" w:lineRule="auto"/>
        <w:rPr>
          <w:rFonts w:ascii="Arial" w:hAnsi="Arial" w:cs="Arial"/>
          <w:b/>
          <w:sz w:val="20"/>
          <w:szCs w:val="20"/>
        </w:rPr>
      </w:pPr>
      <w:r w:rsidRPr="005351F9">
        <w:rPr>
          <w:rFonts w:ascii="Arial" w:hAnsi="Arial" w:cs="Arial"/>
          <w:b/>
          <w:sz w:val="20"/>
          <w:szCs w:val="20"/>
        </w:rPr>
        <w:t>What has happened?</w:t>
      </w:r>
    </w:p>
    <w:p w:rsidR="00235672" w:rsidRPr="005351F9" w:rsidRDefault="00235672" w:rsidP="00B85A35">
      <w:pPr>
        <w:spacing w:line="240" w:lineRule="auto"/>
        <w:jc w:val="both"/>
        <w:rPr>
          <w:rFonts w:ascii="Arial" w:hAnsi="Arial" w:cs="Arial"/>
          <w:sz w:val="20"/>
          <w:szCs w:val="20"/>
        </w:rPr>
      </w:pPr>
      <w:r w:rsidRPr="005351F9">
        <w:rPr>
          <w:rFonts w:ascii="Arial" w:hAnsi="Arial" w:cs="Arial"/>
          <w:sz w:val="20"/>
          <w:szCs w:val="20"/>
        </w:rPr>
        <w:t>On 3 August 2014, the Bank of Portugal used its powers in relation to insolvent credit institutions to transfer certain of the assets and liabilities of Banco Espirito Santo (“</w:t>
      </w:r>
      <w:r w:rsidRPr="005351F9">
        <w:rPr>
          <w:rFonts w:ascii="Arial" w:hAnsi="Arial" w:cs="Arial"/>
          <w:b/>
          <w:sz w:val="20"/>
          <w:szCs w:val="20"/>
        </w:rPr>
        <w:t>BES</w:t>
      </w:r>
      <w:r w:rsidRPr="005351F9">
        <w:rPr>
          <w:rFonts w:ascii="Arial" w:hAnsi="Arial" w:cs="Arial"/>
          <w:sz w:val="20"/>
          <w:szCs w:val="20"/>
        </w:rPr>
        <w:t>”) to a bridge bank (</w:t>
      </w:r>
      <w:r w:rsidR="00806270" w:rsidRPr="005351F9">
        <w:rPr>
          <w:rFonts w:ascii="Arial" w:hAnsi="Arial" w:cs="Arial"/>
          <w:sz w:val="20"/>
          <w:szCs w:val="20"/>
        </w:rPr>
        <w:t>“</w:t>
      </w:r>
      <w:r w:rsidRPr="005351F9">
        <w:rPr>
          <w:rFonts w:ascii="Arial" w:hAnsi="Arial" w:cs="Arial"/>
          <w:b/>
          <w:sz w:val="20"/>
          <w:szCs w:val="20"/>
        </w:rPr>
        <w:t>Novo Banco</w:t>
      </w:r>
      <w:r w:rsidR="00806270" w:rsidRPr="005351F9">
        <w:rPr>
          <w:rFonts w:ascii="Arial" w:hAnsi="Arial" w:cs="Arial"/>
          <w:sz w:val="20"/>
          <w:szCs w:val="20"/>
        </w:rPr>
        <w:t>”</w:t>
      </w:r>
      <w:r w:rsidRPr="005351F9">
        <w:rPr>
          <w:rFonts w:ascii="Arial" w:hAnsi="Arial" w:cs="Arial"/>
          <w:sz w:val="20"/>
          <w:szCs w:val="20"/>
        </w:rPr>
        <w:t xml:space="preserve">), while keeping other assets and liabilities in BES.  The assets and liabilities retained by BES were mostly those connected with existing relationships between BES and certain other companies in the Espírito Santo Group, </w:t>
      </w:r>
      <w:r w:rsidR="005E5C0F" w:rsidRPr="005351F9">
        <w:rPr>
          <w:rFonts w:ascii="Arial" w:hAnsi="Arial" w:cs="Arial"/>
          <w:sz w:val="20"/>
          <w:szCs w:val="20"/>
        </w:rPr>
        <w:t>which was the major shareholder with 25% ownership</w:t>
      </w:r>
      <w:r w:rsidR="00041915">
        <w:rPr>
          <w:rFonts w:ascii="Arial" w:hAnsi="Arial" w:cs="Arial"/>
          <w:sz w:val="20"/>
          <w:szCs w:val="20"/>
        </w:rPr>
        <w:t xml:space="preserve">. </w:t>
      </w:r>
      <w:r w:rsidR="00806270" w:rsidRPr="005351F9">
        <w:rPr>
          <w:rFonts w:ascii="Arial" w:hAnsi="Arial" w:cs="Arial"/>
          <w:sz w:val="20"/>
          <w:szCs w:val="20"/>
        </w:rPr>
        <w:t>Novo Banco</w:t>
      </w:r>
      <w:r w:rsidRPr="005351F9">
        <w:rPr>
          <w:rFonts w:ascii="Arial" w:hAnsi="Arial" w:cs="Arial"/>
          <w:sz w:val="20"/>
          <w:szCs w:val="20"/>
        </w:rPr>
        <w:t xml:space="preserve"> specifically confirmed that, as expected, the assets and senior liabilities</w:t>
      </w:r>
      <w:r w:rsidR="005E5C0F" w:rsidRPr="005351F9">
        <w:rPr>
          <w:rFonts w:ascii="Arial" w:hAnsi="Arial" w:cs="Arial"/>
          <w:sz w:val="20"/>
          <w:szCs w:val="20"/>
        </w:rPr>
        <w:t>,</w:t>
      </w:r>
      <w:r w:rsidR="00FD3401" w:rsidRPr="005351F9">
        <w:rPr>
          <w:rFonts w:ascii="Arial" w:hAnsi="Arial" w:cs="Arial"/>
          <w:sz w:val="20"/>
          <w:szCs w:val="20"/>
        </w:rPr>
        <w:t>including customer deposits</w:t>
      </w:r>
      <w:r w:rsidR="005E5C0F" w:rsidRPr="005351F9">
        <w:rPr>
          <w:rFonts w:ascii="Arial" w:hAnsi="Arial" w:cs="Arial"/>
          <w:sz w:val="20"/>
          <w:szCs w:val="20"/>
        </w:rPr>
        <w:t>,</w:t>
      </w:r>
      <w:r w:rsidRPr="005351F9">
        <w:rPr>
          <w:rFonts w:ascii="Arial" w:hAnsi="Arial" w:cs="Arial"/>
          <w:sz w:val="20"/>
          <w:szCs w:val="20"/>
        </w:rPr>
        <w:t xml:space="preserve">which were transferred to Novo Banco included the senior loan which had been made to BES in </w:t>
      </w:r>
      <w:r w:rsidR="005E5C0F" w:rsidRPr="005351F9">
        <w:rPr>
          <w:rFonts w:ascii="Arial" w:hAnsi="Arial" w:cs="Arial"/>
          <w:sz w:val="20"/>
          <w:szCs w:val="20"/>
        </w:rPr>
        <w:t xml:space="preserve">July </w:t>
      </w:r>
      <w:r w:rsidRPr="005351F9">
        <w:rPr>
          <w:rFonts w:ascii="Arial" w:hAnsi="Arial" w:cs="Arial"/>
          <w:sz w:val="20"/>
          <w:szCs w:val="20"/>
        </w:rPr>
        <w:t>2014 by Oak Finance</w:t>
      </w:r>
      <w:r w:rsidR="005E5C0F" w:rsidRPr="005351F9">
        <w:rPr>
          <w:rFonts w:ascii="Arial" w:hAnsi="Arial" w:cs="Arial"/>
          <w:sz w:val="20"/>
          <w:szCs w:val="20"/>
        </w:rPr>
        <w:t>.</w:t>
      </w:r>
    </w:p>
    <w:p w:rsidR="001467AF" w:rsidRDefault="00235672" w:rsidP="009F57F2">
      <w:pPr>
        <w:spacing w:line="240" w:lineRule="auto"/>
        <w:jc w:val="both"/>
        <w:rPr>
          <w:rFonts w:ascii="Arial" w:hAnsi="Arial" w:cs="Arial"/>
          <w:sz w:val="20"/>
          <w:szCs w:val="20"/>
        </w:rPr>
      </w:pPr>
      <w:r w:rsidRPr="005351F9">
        <w:rPr>
          <w:rFonts w:ascii="Arial" w:hAnsi="Arial" w:cs="Arial"/>
          <w:sz w:val="20"/>
          <w:szCs w:val="20"/>
        </w:rPr>
        <w:t>On 22 December 2014, the Bank of Portugal purported to reverse this earlier declaration</w:t>
      </w:r>
      <w:r w:rsidR="00FD3401" w:rsidRPr="005351F9">
        <w:rPr>
          <w:rFonts w:ascii="Arial" w:hAnsi="Arial" w:cs="Arial"/>
          <w:sz w:val="20"/>
          <w:szCs w:val="20"/>
        </w:rPr>
        <w:t xml:space="preserve"> in respect of Oak Finance</w:t>
      </w:r>
      <w:r w:rsidR="00BB39C4">
        <w:rPr>
          <w:rFonts w:ascii="Arial" w:hAnsi="Arial" w:cs="Arial"/>
          <w:sz w:val="20"/>
          <w:szCs w:val="20"/>
        </w:rPr>
        <w:t xml:space="preserve">. </w:t>
      </w:r>
      <w:r w:rsidRPr="005351F9">
        <w:rPr>
          <w:rFonts w:ascii="Arial" w:hAnsi="Arial" w:cs="Arial"/>
          <w:sz w:val="20"/>
          <w:szCs w:val="20"/>
        </w:rPr>
        <w:t>This purported reversal, which was expressed to have effect from 3 August 2014, was based on a misunderstanding of both the nature of the Oak Finance loan and the application of the 2% rule which was introduced on 1 August.</w:t>
      </w:r>
      <w:r w:rsidR="001467AF" w:rsidRPr="005351F9">
        <w:rPr>
          <w:rFonts w:ascii="Arial" w:hAnsi="Arial" w:cs="Arial"/>
          <w:sz w:val="20"/>
          <w:szCs w:val="20"/>
        </w:rPr>
        <w:t xml:space="preserve">This </w:t>
      </w:r>
      <w:r w:rsidR="009F57F2">
        <w:rPr>
          <w:rFonts w:ascii="Arial" w:hAnsi="Arial" w:cs="Arial"/>
          <w:sz w:val="20"/>
          <w:szCs w:val="20"/>
        </w:rPr>
        <w:t>was</w:t>
      </w:r>
      <w:r w:rsidR="001467AF" w:rsidRPr="005351F9">
        <w:rPr>
          <w:rFonts w:ascii="Arial" w:hAnsi="Arial" w:cs="Arial"/>
          <w:sz w:val="20"/>
          <w:szCs w:val="20"/>
        </w:rPr>
        <w:t xml:space="preserve">an unprecedented scenario and </w:t>
      </w:r>
      <w:r w:rsidR="009F57F2">
        <w:rPr>
          <w:rFonts w:ascii="Arial" w:hAnsi="Arial" w:cs="Arial"/>
          <w:sz w:val="20"/>
          <w:szCs w:val="20"/>
        </w:rPr>
        <w:t>was</w:t>
      </w:r>
      <w:r w:rsidR="001467AF" w:rsidRPr="005351F9">
        <w:rPr>
          <w:rFonts w:ascii="Arial" w:hAnsi="Arial" w:cs="Arial"/>
          <w:sz w:val="20"/>
          <w:szCs w:val="20"/>
        </w:rPr>
        <w:t>not something we were able to anticipate.</w:t>
      </w:r>
    </w:p>
    <w:p w:rsidR="009F57F2" w:rsidRDefault="009F57F2" w:rsidP="009F57F2">
      <w:pPr>
        <w:spacing w:line="240" w:lineRule="auto"/>
        <w:jc w:val="both"/>
        <w:rPr>
          <w:rFonts w:ascii="Arial" w:hAnsi="Arial" w:cs="Arial"/>
          <w:sz w:val="20"/>
          <w:szCs w:val="20"/>
        </w:rPr>
      </w:pPr>
      <w:r w:rsidRPr="005351F9">
        <w:rPr>
          <w:rFonts w:ascii="Arial" w:hAnsi="Arial" w:cs="Arial"/>
          <w:sz w:val="20"/>
          <w:szCs w:val="20"/>
        </w:rPr>
        <w:t xml:space="preserve">Following </w:t>
      </w:r>
      <w:r>
        <w:rPr>
          <w:rFonts w:ascii="Arial" w:hAnsi="Arial" w:cs="Arial"/>
          <w:sz w:val="20"/>
          <w:szCs w:val="20"/>
        </w:rPr>
        <w:t>the 22 December 2014</w:t>
      </w:r>
      <w:r w:rsidRPr="005351F9">
        <w:rPr>
          <w:rFonts w:ascii="Arial" w:hAnsi="Arial" w:cs="Arial"/>
          <w:sz w:val="20"/>
          <w:szCs w:val="20"/>
        </w:rPr>
        <w:t xml:space="preserve"> decision, Goldman Sachs provided the Bank of Portugal with </w:t>
      </w:r>
      <w:r>
        <w:rPr>
          <w:rFonts w:ascii="Arial" w:hAnsi="Arial" w:cs="Arial"/>
          <w:sz w:val="20"/>
          <w:szCs w:val="20"/>
        </w:rPr>
        <w:t>further</w:t>
      </w:r>
      <w:r w:rsidRPr="005351F9">
        <w:rPr>
          <w:rFonts w:ascii="Arial" w:hAnsi="Arial" w:cs="Arial"/>
          <w:sz w:val="20"/>
          <w:szCs w:val="20"/>
        </w:rPr>
        <w:t xml:space="preserve"> details of both its shareholdings in BES and the structure of Oak Finance, in order to explain that the factual assumptions underpinning the 22 December decision </w:t>
      </w:r>
      <w:r>
        <w:rPr>
          <w:rFonts w:ascii="Arial" w:hAnsi="Arial" w:cs="Arial"/>
          <w:sz w:val="20"/>
          <w:szCs w:val="20"/>
        </w:rPr>
        <w:t>were</w:t>
      </w:r>
      <w:r w:rsidRPr="005351F9">
        <w:rPr>
          <w:rFonts w:ascii="Arial" w:hAnsi="Arial" w:cs="Arial"/>
          <w:sz w:val="20"/>
          <w:szCs w:val="20"/>
        </w:rPr>
        <w:t xml:space="preserve"> inaccurate.</w:t>
      </w:r>
    </w:p>
    <w:p w:rsidR="009F57F2" w:rsidRPr="009F57F2" w:rsidRDefault="009F57F2" w:rsidP="009F57F2">
      <w:pPr>
        <w:spacing w:line="240" w:lineRule="auto"/>
        <w:jc w:val="both"/>
        <w:rPr>
          <w:rFonts w:cs="Arial"/>
        </w:rPr>
      </w:pPr>
      <w:r>
        <w:rPr>
          <w:rFonts w:ascii="Arial" w:hAnsi="Arial" w:cs="Arial"/>
          <w:sz w:val="20"/>
          <w:szCs w:val="20"/>
        </w:rPr>
        <w:t>On 18 February 2015 the Bank of Portugal re-affirmed its 22 December decision.</w:t>
      </w:r>
      <w:r>
        <w:rPr>
          <w:rFonts w:cs="Arial"/>
        </w:rPr>
        <w:t xml:space="preserve"> This is both surprising and disappointing.</w:t>
      </w:r>
    </w:p>
    <w:p w:rsidR="00235672" w:rsidRPr="005351F9" w:rsidRDefault="00235672" w:rsidP="00B85A35">
      <w:pPr>
        <w:pStyle w:val="PlainText"/>
        <w:spacing w:after="200"/>
        <w:rPr>
          <w:rFonts w:ascii="Arial" w:hAnsi="Arial" w:cs="Arial"/>
          <w:sz w:val="20"/>
          <w:szCs w:val="20"/>
        </w:rPr>
      </w:pPr>
      <w:r w:rsidRPr="005351F9">
        <w:rPr>
          <w:rFonts w:ascii="Arial" w:hAnsi="Arial" w:cs="Arial"/>
          <w:b/>
          <w:sz w:val="20"/>
          <w:szCs w:val="20"/>
        </w:rPr>
        <w:t xml:space="preserve">What was the purpose of the Oak Finance </w:t>
      </w:r>
      <w:r w:rsidR="00C92478">
        <w:rPr>
          <w:rFonts w:ascii="Arial" w:hAnsi="Arial" w:cs="Arial"/>
          <w:b/>
          <w:sz w:val="20"/>
          <w:szCs w:val="20"/>
        </w:rPr>
        <w:t>l</w:t>
      </w:r>
      <w:r w:rsidRPr="005351F9">
        <w:rPr>
          <w:rFonts w:ascii="Arial" w:hAnsi="Arial" w:cs="Arial"/>
          <w:b/>
          <w:sz w:val="20"/>
          <w:szCs w:val="20"/>
        </w:rPr>
        <w:t>oan?</w:t>
      </w:r>
    </w:p>
    <w:p w:rsidR="00235672" w:rsidRPr="005351F9" w:rsidRDefault="00235672" w:rsidP="00B85A35">
      <w:pPr>
        <w:spacing w:line="240" w:lineRule="auto"/>
        <w:jc w:val="both"/>
        <w:rPr>
          <w:rFonts w:ascii="Arial" w:hAnsi="Arial" w:cs="Arial"/>
          <w:sz w:val="20"/>
          <w:szCs w:val="20"/>
        </w:rPr>
      </w:pPr>
      <w:r w:rsidRPr="005351F9">
        <w:rPr>
          <w:rFonts w:ascii="Arial" w:hAnsi="Arial" w:cs="Arial"/>
          <w:sz w:val="20"/>
          <w:szCs w:val="20"/>
        </w:rPr>
        <w:t>The loan was used for general corporate purposes including the finance of trade transactions being entered into by BES.  The benefit of the loan proceeds was transferred to Novo Banco on 3 August, and remains with Novo Banco.</w:t>
      </w:r>
    </w:p>
    <w:p w:rsidR="00235672" w:rsidRPr="005351F9" w:rsidRDefault="00235672" w:rsidP="00B85A35">
      <w:pPr>
        <w:spacing w:line="240" w:lineRule="auto"/>
        <w:jc w:val="both"/>
        <w:rPr>
          <w:rFonts w:ascii="Arial" w:hAnsi="Arial" w:cs="Arial"/>
          <w:b/>
          <w:sz w:val="20"/>
          <w:szCs w:val="20"/>
        </w:rPr>
      </w:pPr>
      <w:r w:rsidRPr="005351F9">
        <w:rPr>
          <w:rFonts w:ascii="Arial" w:hAnsi="Arial" w:cs="Arial"/>
          <w:b/>
          <w:sz w:val="20"/>
          <w:szCs w:val="20"/>
        </w:rPr>
        <w:t>What is the 2% rule?</w:t>
      </w:r>
    </w:p>
    <w:p w:rsidR="000674EC" w:rsidRPr="005351F9" w:rsidRDefault="00235672" w:rsidP="00B85A35">
      <w:pPr>
        <w:spacing w:line="240" w:lineRule="auto"/>
        <w:jc w:val="both"/>
        <w:rPr>
          <w:rFonts w:ascii="Arial" w:hAnsi="Arial" w:cs="Arial"/>
          <w:sz w:val="20"/>
          <w:szCs w:val="20"/>
        </w:rPr>
      </w:pPr>
      <w:r w:rsidRPr="005351F9">
        <w:rPr>
          <w:rFonts w:ascii="Arial" w:hAnsi="Arial" w:cs="Arial"/>
          <w:sz w:val="20"/>
          <w:szCs w:val="20"/>
        </w:rPr>
        <w:t xml:space="preserve">In broad terms, an amendment was made to the Portuguese bank insolvency regime on 1 August 2014 which prohibited the transfer of liabilities of "old bank" vis-à-vis shareholders who had at any point in the previous two years owned </w:t>
      </w:r>
      <w:r w:rsidR="00FD3401" w:rsidRPr="005351F9">
        <w:rPr>
          <w:rFonts w:ascii="Arial" w:hAnsi="Arial" w:cs="Arial"/>
          <w:sz w:val="20"/>
          <w:szCs w:val="20"/>
        </w:rPr>
        <w:t xml:space="preserve">greater than </w:t>
      </w:r>
      <w:r w:rsidRPr="005351F9">
        <w:rPr>
          <w:rFonts w:ascii="Arial" w:hAnsi="Arial" w:cs="Arial"/>
          <w:sz w:val="20"/>
          <w:szCs w:val="20"/>
        </w:rPr>
        <w:t xml:space="preserve">2% of the shares of the insolvent “old bank”, effectively preventing claims from such category of shareholders </w:t>
      </w:r>
      <w:r w:rsidR="00717881">
        <w:rPr>
          <w:rFonts w:ascii="Arial" w:hAnsi="Arial" w:cs="Arial"/>
          <w:sz w:val="20"/>
          <w:szCs w:val="20"/>
        </w:rPr>
        <w:t xml:space="preserve">transferring </w:t>
      </w:r>
      <w:r w:rsidRPr="005351F9">
        <w:rPr>
          <w:rFonts w:ascii="Arial" w:hAnsi="Arial" w:cs="Arial"/>
          <w:sz w:val="20"/>
          <w:szCs w:val="20"/>
        </w:rPr>
        <w:t>into "new bank".</w:t>
      </w:r>
      <w:fldSimple w:instr=" NOTEREF _Ref409788605 \h  \* MERGEFORMAT ">
        <w:r w:rsidR="0075625D">
          <w:rPr>
            <w:rFonts w:ascii="Arial" w:hAnsi="Arial" w:cs="Arial"/>
            <w:sz w:val="20"/>
            <w:szCs w:val="20"/>
          </w:rPr>
          <w:t>1</w:t>
        </w:r>
      </w:fldSimple>
    </w:p>
    <w:p w:rsidR="00235672" w:rsidRPr="005351F9" w:rsidRDefault="00235672" w:rsidP="00B85A35">
      <w:pPr>
        <w:spacing w:line="240" w:lineRule="auto"/>
        <w:jc w:val="both"/>
        <w:rPr>
          <w:rFonts w:ascii="Arial" w:hAnsi="Arial" w:cs="Arial"/>
          <w:sz w:val="20"/>
          <w:szCs w:val="20"/>
        </w:rPr>
      </w:pPr>
      <w:r w:rsidRPr="005351F9">
        <w:rPr>
          <w:rFonts w:ascii="Arial" w:hAnsi="Arial" w:cs="Arial"/>
          <w:sz w:val="20"/>
          <w:szCs w:val="20"/>
        </w:rPr>
        <w:t>This rule was intended to be consistent with the principal purpose of the bank resolution, namely to enable the continuity of most of the business of BES through Novo Banco (which is designed to be sold), while making shareholders, other subordinated creditors and those responsible for the distress of BES bear first losses through respective exposure to BES, which continues to exist depleted of most of its assets and is to be liquidated.</w:t>
      </w:r>
      <w:bookmarkStart w:id="1" w:name="_Ref409788605"/>
      <w:r w:rsidRPr="007E16A3">
        <w:rPr>
          <w:rFonts w:ascii="Arial" w:hAnsi="Arial" w:cs="Arial"/>
          <w:sz w:val="20"/>
          <w:szCs w:val="20"/>
          <w:vertAlign w:val="superscript"/>
        </w:rPr>
        <w:footnoteReference w:id="2"/>
      </w:r>
      <w:bookmarkEnd w:id="1"/>
      <w:r w:rsidRPr="005351F9">
        <w:rPr>
          <w:rFonts w:ascii="Arial" w:hAnsi="Arial" w:cs="Arial"/>
          <w:sz w:val="20"/>
          <w:szCs w:val="20"/>
        </w:rPr>
        <w:t xml:space="preserve">  Accordingly, the 2% rule was intended to (and has otherwise been used to) prevent claims from, e</w:t>
      </w:r>
      <w:r w:rsidR="00FD3401" w:rsidRPr="005351F9">
        <w:rPr>
          <w:rFonts w:ascii="Arial" w:hAnsi="Arial" w:cs="Arial"/>
          <w:sz w:val="20"/>
          <w:szCs w:val="20"/>
        </w:rPr>
        <w:t>.</w:t>
      </w:r>
      <w:r w:rsidRPr="005351F9">
        <w:rPr>
          <w:rFonts w:ascii="Arial" w:hAnsi="Arial" w:cs="Arial"/>
          <w:sz w:val="20"/>
          <w:szCs w:val="20"/>
        </w:rPr>
        <w:t>g</w:t>
      </w:r>
      <w:r w:rsidR="00FD3401" w:rsidRPr="005351F9">
        <w:rPr>
          <w:rFonts w:ascii="Arial" w:hAnsi="Arial" w:cs="Arial"/>
          <w:sz w:val="20"/>
          <w:szCs w:val="20"/>
        </w:rPr>
        <w:t>.</w:t>
      </w:r>
      <w:r w:rsidRPr="005351F9">
        <w:rPr>
          <w:rFonts w:ascii="Arial" w:hAnsi="Arial" w:cs="Arial"/>
          <w:sz w:val="20"/>
          <w:szCs w:val="20"/>
        </w:rPr>
        <w:t>, former management and controlling owners of BES making claims into Novo Banco.</w:t>
      </w:r>
    </w:p>
    <w:p w:rsidR="00235672" w:rsidRPr="005351F9" w:rsidRDefault="00235672" w:rsidP="00B85A35">
      <w:pPr>
        <w:pStyle w:val="BodyText"/>
        <w:spacing w:after="200"/>
        <w:rPr>
          <w:rFonts w:ascii="Arial" w:hAnsi="Arial" w:cs="Arial"/>
          <w:b/>
          <w:sz w:val="20"/>
          <w:szCs w:val="20"/>
        </w:rPr>
      </w:pPr>
      <w:r w:rsidRPr="005351F9">
        <w:rPr>
          <w:rFonts w:ascii="Arial" w:hAnsi="Arial" w:cs="Arial"/>
          <w:b/>
          <w:sz w:val="20"/>
          <w:szCs w:val="20"/>
        </w:rPr>
        <w:t xml:space="preserve">Goldman Sachs disclosed a 2% interest in BES in July 2014.  On what basis is the Oak Finance loan not caught by this 2% rule? </w:t>
      </w:r>
    </w:p>
    <w:p w:rsidR="00235672" w:rsidRPr="005351F9" w:rsidRDefault="00235672" w:rsidP="00B85A35">
      <w:pPr>
        <w:pStyle w:val="BodyText"/>
        <w:spacing w:after="200"/>
        <w:rPr>
          <w:rFonts w:ascii="Arial" w:hAnsi="Arial" w:cs="Arial"/>
          <w:sz w:val="20"/>
          <w:szCs w:val="20"/>
        </w:rPr>
      </w:pPr>
      <w:r w:rsidRPr="005351F9">
        <w:rPr>
          <w:rFonts w:ascii="Arial" w:hAnsi="Arial" w:cs="Arial"/>
          <w:sz w:val="20"/>
          <w:szCs w:val="20"/>
        </w:rPr>
        <w:t xml:space="preserve">First, it is Oak Finance, not Goldman Sachs, which is the lender under this loan. Accordingly, Goldman’s </w:t>
      </w:r>
      <w:r w:rsidR="00FD3401" w:rsidRPr="005351F9">
        <w:rPr>
          <w:rFonts w:ascii="Arial" w:hAnsi="Arial" w:cs="Arial"/>
          <w:sz w:val="20"/>
          <w:szCs w:val="20"/>
        </w:rPr>
        <w:t xml:space="preserve">equity </w:t>
      </w:r>
      <w:r w:rsidRPr="005351F9">
        <w:rPr>
          <w:rFonts w:ascii="Arial" w:hAnsi="Arial" w:cs="Arial"/>
          <w:sz w:val="20"/>
          <w:szCs w:val="20"/>
        </w:rPr>
        <w:t xml:space="preserve">shareholding in BES is not relevant to the decision as to whether the Oak Finance loan was properly transferred to Novo Banco. Oak Finance’s only major asset was a loan to BES and it owned no shares </w:t>
      </w:r>
      <w:r w:rsidR="00FD3401" w:rsidRPr="005351F9">
        <w:rPr>
          <w:rFonts w:ascii="Arial" w:hAnsi="Arial" w:cs="Arial"/>
          <w:sz w:val="20"/>
          <w:szCs w:val="20"/>
        </w:rPr>
        <w:t>in BES</w:t>
      </w:r>
      <w:r w:rsidRPr="005351F9">
        <w:rPr>
          <w:rFonts w:ascii="Arial" w:hAnsi="Arial" w:cs="Arial"/>
          <w:sz w:val="20"/>
          <w:szCs w:val="20"/>
        </w:rPr>
        <w:t>.</w:t>
      </w:r>
    </w:p>
    <w:p w:rsidR="000674EC" w:rsidRPr="005351F9" w:rsidRDefault="00235672" w:rsidP="00B85A35">
      <w:pPr>
        <w:pStyle w:val="BodyText"/>
        <w:spacing w:after="200"/>
        <w:rPr>
          <w:rFonts w:ascii="Arial" w:hAnsi="Arial" w:cs="Arial"/>
          <w:sz w:val="20"/>
          <w:szCs w:val="20"/>
        </w:rPr>
      </w:pPr>
      <w:r w:rsidRPr="005351F9">
        <w:rPr>
          <w:rFonts w:ascii="Arial" w:hAnsi="Arial" w:cs="Arial"/>
          <w:sz w:val="20"/>
          <w:szCs w:val="20"/>
        </w:rPr>
        <w:lastRenderedPageBreak/>
        <w:t>Even ignoring that point, however, Goldman has never been a shareholder of BES with a holding in excess of 2%.  For a period o</w:t>
      </w:r>
      <w:r w:rsidRPr="00616EE0">
        <w:rPr>
          <w:rFonts w:ascii="Arial" w:hAnsi="Arial" w:cs="Arial"/>
          <w:sz w:val="20"/>
          <w:szCs w:val="20"/>
        </w:rPr>
        <w:t>f 8 days between 15 July 2014 and 23 July 2014,</w:t>
      </w:r>
      <w:r w:rsidRPr="005351F9">
        <w:rPr>
          <w:rFonts w:ascii="Arial" w:hAnsi="Arial" w:cs="Arial"/>
          <w:sz w:val="20"/>
          <w:szCs w:val="20"/>
        </w:rPr>
        <w:t xml:space="preserve"> prior to the introduction of the 2% rule</w:t>
      </w:r>
      <w:r w:rsidR="004A15C8">
        <w:rPr>
          <w:rFonts w:ascii="Arial" w:hAnsi="Arial" w:cs="Arial"/>
          <w:sz w:val="20"/>
          <w:szCs w:val="20"/>
        </w:rPr>
        <w:t xml:space="preserve"> and after the Oak Finance transaction had already closed</w:t>
      </w:r>
      <w:r w:rsidRPr="005351F9">
        <w:rPr>
          <w:rFonts w:ascii="Arial" w:hAnsi="Arial" w:cs="Arial"/>
          <w:sz w:val="20"/>
          <w:szCs w:val="20"/>
        </w:rPr>
        <w:t>, Goldman’s total holding for the purposes of provisions of Portuguese law implementing the EU Transparency Directive exceeded 2%.  However, the test for a shareholding under the EU Transparency Directive is materially different from, and broader than, the applicable test fo</w:t>
      </w:r>
      <w:r w:rsidR="000674EC" w:rsidRPr="005351F9">
        <w:rPr>
          <w:rFonts w:ascii="Arial" w:hAnsi="Arial" w:cs="Arial"/>
          <w:sz w:val="20"/>
          <w:szCs w:val="20"/>
        </w:rPr>
        <w:t>r the purposes of the 2% rule.</w:t>
      </w:r>
    </w:p>
    <w:p w:rsidR="00122BD8" w:rsidRPr="005351F9" w:rsidRDefault="00122BD8" w:rsidP="00122BD8">
      <w:pPr>
        <w:pStyle w:val="BodyText"/>
        <w:spacing w:after="200"/>
        <w:rPr>
          <w:rFonts w:ascii="Arial" w:hAnsi="Arial" w:cs="Arial"/>
          <w:sz w:val="20"/>
          <w:szCs w:val="20"/>
        </w:rPr>
      </w:pPr>
      <w:r>
        <w:rPr>
          <w:rFonts w:ascii="Arial" w:hAnsi="Arial" w:cs="Arial"/>
          <w:sz w:val="20"/>
          <w:szCs w:val="20"/>
        </w:rPr>
        <w:t>O</w:t>
      </w:r>
      <w:r w:rsidRPr="005351F9">
        <w:rPr>
          <w:rFonts w:ascii="Arial" w:hAnsi="Arial" w:cs="Arial"/>
          <w:sz w:val="20"/>
          <w:szCs w:val="20"/>
        </w:rPr>
        <w:t xml:space="preserve">nly 1.6% of the shareholding was a physical holding of BES shares, which is the only relevant ownership for the purposes of the 2% rule: the balance </w:t>
      </w:r>
      <w:r>
        <w:rPr>
          <w:rFonts w:ascii="Arial" w:hAnsi="Arial" w:cs="Arial"/>
          <w:sz w:val="20"/>
          <w:szCs w:val="20"/>
        </w:rPr>
        <w:t xml:space="preserve">of 0.67% </w:t>
      </w:r>
      <w:r w:rsidRPr="005351F9">
        <w:rPr>
          <w:rFonts w:ascii="Arial" w:hAnsi="Arial" w:cs="Arial"/>
          <w:sz w:val="20"/>
          <w:szCs w:val="20"/>
        </w:rPr>
        <w:t>was Goldman’s interest in cash settled swaps</w:t>
      </w:r>
      <w:r w:rsidRPr="005351F9">
        <w:rPr>
          <w:rStyle w:val="FootnoteReference"/>
          <w:rFonts w:ascii="Arial" w:hAnsi="Arial" w:cs="Arial"/>
          <w:sz w:val="20"/>
          <w:szCs w:val="20"/>
        </w:rPr>
        <w:footnoteReference w:id="3"/>
      </w:r>
      <w:r w:rsidRPr="005351F9">
        <w:rPr>
          <w:rFonts w:ascii="Arial" w:hAnsi="Arial" w:cs="Arial"/>
          <w:sz w:val="20"/>
          <w:szCs w:val="20"/>
        </w:rPr>
        <w:t xml:space="preserve">, which did not carry any voting interest in </w:t>
      </w:r>
      <w:r w:rsidR="008F5C05">
        <w:rPr>
          <w:rFonts w:ascii="Arial" w:hAnsi="Arial" w:cs="Arial"/>
          <w:sz w:val="20"/>
          <w:szCs w:val="20"/>
        </w:rPr>
        <w:t>n</w:t>
      </w:r>
      <w:r w:rsidRPr="005351F9">
        <w:rPr>
          <w:rFonts w:ascii="Arial" w:hAnsi="Arial" w:cs="Arial"/>
          <w:sz w:val="20"/>
          <w:szCs w:val="20"/>
        </w:rPr>
        <w:t>or right to acquire BES shares.</w:t>
      </w:r>
    </w:p>
    <w:p w:rsidR="001467AF" w:rsidRPr="005351F9" w:rsidRDefault="00235672" w:rsidP="00B85A35">
      <w:pPr>
        <w:pStyle w:val="BodyText"/>
        <w:spacing w:after="200"/>
        <w:rPr>
          <w:rFonts w:ascii="Arial" w:hAnsi="Arial" w:cs="Arial"/>
          <w:sz w:val="20"/>
          <w:szCs w:val="20"/>
        </w:rPr>
      </w:pPr>
      <w:r w:rsidRPr="005351F9">
        <w:rPr>
          <w:rFonts w:ascii="Arial" w:hAnsi="Arial" w:cs="Arial"/>
          <w:sz w:val="20"/>
          <w:szCs w:val="20"/>
        </w:rPr>
        <w:t>In any event, as referred to above, by the date of implementation of the amendments to Portuguese law, Goldman’s interest in BES shares (even on the basis of the substantially broader test under the EU Transparency Directive) had dropped below 2%.</w:t>
      </w:r>
    </w:p>
    <w:p w:rsidR="001467AF" w:rsidRPr="005351F9" w:rsidRDefault="001467AF" w:rsidP="00B85A35">
      <w:pPr>
        <w:pStyle w:val="BodyText"/>
        <w:spacing w:after="200"/>
        <w:rPr>
          <w:rFonts w:ascii="Arial" w:hAnsi="Arial" w:cs="Arial"/>
          <w:b/>
          <w:sz w:val="20"/>
          <w:szCs w:val="20"/>
        </w:rPr>
      </w:pPr>
      <w:r w:rsidRPr="005351F9">
        <w:rPr>
          <w:rFonts w:ascii="Arial" w:hAnsi="Arial" w:cs="Arial"/>
          <w:b/>
          <w:sz w:val="20"/>
          <w:szCs w:val="20"/>
        </w:rPr>
        <w:t>What information led the Bank of Portugal to come to this conclusion?</w:t>
      </w:r>
    </w:p>
    <w:p w:rsidR="001467AF" w:rsidRPr="005351F9" w:rsidRDefault="001467AF" w:rsidP="00B85A35">
      <w:pPr>
        <w:pStyle w:val="BodyText"/>
        <w:spacing w:after="200"/>
        <w:rPr>
          <w:rFonts w:ascii="Arial" w:hAnsi="Arial" w:cs="Arial"/>
          <w:sz w:val="20"/>
          <w:szCs w:val="20"/>
        </w:rPr>
      </w:pPr>
      <w:r w:rsidRPr="005351F9">
        <w:rPr>
          <w:rFonts w:ascii="Arial" w:hAnsi="Arial" w:cs="Arial"/>
          <w:sz w:val="20"/>
          <w:szCs w:val="20"/>
        </w:rPr>
        <w:t>We understand that earlier in December, Bank of Portugal made certain requests for information to Deutsche Bank, as agent for Oak Finance.  However, these queries did not address the key issue of Goldman</w:t>
      </w:r>
      <w:r w:rsidR="00F12F03">
        <w:rPr>
          <w:rFonts w:ascii="Arial" w:hAnsi="Arial" w:cs="Arial"/>
          <w:sz w:val="20"/>
          <w:szCs w:val="20"/>
        </w:rPr>
        <w:t xml:space="preserve"> Sach</w:t>
      </w:r>
      <w:r w:rsidRPr="005351F9">
        <w:rPr>
          <w:rFonts w:ascii="Arial" w:hAnsi="Arial" w:cs="Arial"/>
          <w:sz w:val="20"/>
          <w:szCs w:val="20"/>
        </w:rPr>
        <w:t>s</w:t>
      </w:r>
      <w:r w:rsidR="00F12F03">
        <w:rPr>
          <w:rFonts w:ascii="Arial" w:hAnsi="Arial" w:cs="Arial"/>
          <w:sz w:val="20"/>
          <w:szCs w:val="20"/>
        </w:rPr>
        <w:t>’</w:t>
      </w:r>
      <w:r w:rsidRPr="005351F9">
        <w:rPr>
          <w:rFonts w:ascii="Arial" w:hAnsi="Arial" w:cs="Arial"/>
          <w:sz w:val="20"/>
          <w:szCs w:val="20"/>
        </w:rPr>
        <w:t xml:space="preserve"> interest in BES, and we</w:t>
      </w:r>
      <w:r w:rsidR="00F12F03">
        <w:rPr>
          <w:rFonts w:ascii="Arial" w:hAnsi="Arial" w:cs="Arial"/>
          <w:sz w:val="20"/>
          <w:szCs w:val="20"/>
        </w:rPr>
        <w:t>re not communicated to Goldman.</w:t>
      </w:r>
    </w:p>
    <w:p w:rsidR="001467AF" w:rsidRDefault="001467AF" w:rsidP="00B85A35">
      <w:pPr>
        <w:pStyle w:val="BodyText"/>
        <w:spacing w:after="200"/>
        <w:rPr>
          <w:rFonts w:ascii="Arial" w:hAnsi="Arial" w:cs="Arial"/>
          <w:sz w:val="20"/>
          <w:szCs w:val="20"/>
        </w:rPr>
      </w:pPr>
      <w:r w:rsidRPr="005351F9">
        <w:rPr>
          <w:rFonts w:ascii="Arial" w:hAnsi="Arial" w:cs="Arial"/>
          <w:sz w:val="20"/>
          <w:szCs w:val="20"/>
        </w:rPr>
        <w:t xml:space="preserve">In the absence of the necessary information, the Bank of Portugal then proceeded to make its reversal decision on 22 December. </w:t>
      </w:r>
      <w:r w:rsidR="00C92478">
        <w:rPr>
          <w:rFonts w:ascii="Arial" w:hAnsi="Arial" w:cs="Arial"/>
          <w:sz w:val="20"/>
          <w:szCs w:val="20"/>
        </w:rPr>
        <w:t xml:space="preserve">In our view, this finding was based </w:t>
      </w:r>
      <w:r w:rsidR="00C92478" w:rsidRPr="005351F9">
        <w:rPr>
          <w:rFonts w:ascii="Arial" w:hAnsi="Arial" w:cs="Arial"/>
          <w:sz w:val="20"/>
          <w:szCs w:val="20"/>
        </w:rPr>
        <w:t>on a misunderstanding of both Goldman’s relationship with Oak Finance and the nature and level of Goldman’s interest in BES shares.</w:t>
      </w:r>
    </w:p>
    <w:p w:rsidR="009F57F2" w:rsidRPr="005C221C" w:rsidRDefault="009F57F2" w:rsidP="009F57F2">
      <w:pPr>
        <w:spacing w:line="240" w:lineRule="auto"/>
        <w:ind w:left="720" w:hanging="720"/>
        <w:jc w:val="both"/>
        <w:rPr>
          <w:rFonts w:ascii="Arial" w:hAnsi="Arial" w:cs="Arial"/>
        </w:rPr>
      </w:pPr>
      <w:r>
        <w:rPr>
          <w:rFonts w:ascii="Arial" w:hAnsi="Arial" w:cs="Arial"/>
          <w:sz w:val="20"/>
          <w:szCs w:val="20"/>
        </w:rPr>
        <w:t>On 18 Februar</w:t>
      </w:r>
      <w:r w:rsidRPr="005C221C">
        <w:rPr>
          <w:rFonts w:ascii="Arial" w:hAnsi="Arial" w:cs="Arial"/>
          <w:sz w:val="20"/>
          <w:szCs w:val="20"/>
        </w:rPr>
        <w:t xml:space="preserve">y 2015, the Bank of Portugal reaffirmed its </w:t>
      </w:r>
      <w:r w:rsidR="00C92478" w:rsidRPr="005C221C">
        <w:rPr>
          <w:rFonts w:ascii="Arial" w:hAnsi="Arial" w:cs="Arial"/>
          <w:sz w:val="20"/>
          <w:szCs w:val="20"/>
        </w:rPr>
        <w:t xml:space="preserve">22 December 2014 </w:t>
      </w:r>
      <w:r w:rsidRPr="005C221C">
        <w:rPr>
          <w:rFonts w:ascii="Arial" w:hAnsi="Arial" w:cs="Arial"/>
          <w:sz w:val="20"/>
          <w:szCs w:val="20"/>
        </w:rPr>
        <w:t>decision, saying:</w:t>
      </w:r>
    </w:p>
    <w:p w:rsidR="009F57F2" w:rsidRPr="005C221C" w:rsidRDefault="009F57F2" w:rsidP="009F57F2">
      <w:pPr>
        <w:numPr>
          <w:ilvl w:val="1"/>
          <w:numId w:val="2"/>
        </w:numPr>
        <w:tabs>
          <w:tab w:val="num" w:pos="1418"/>
        </w:tabs>
        <w:spacing w:before="120" w:after="120" w:line="240" w:lineRule="auto"/>
        <w:ind w:left="1418" w:hanging="567"/>
        <w:jc w:val="both"/>
        <w:outlineLvl w:val="1"/>
        <w:rPr>
          <w:rFonts w:ascii="Arial" w:hAnsi="Arial" w:cs="Arial"/>
          <w:sz w:val="18"/>
        </w:rPr>
      </w:pPr>
      <w:r w:rsidRPr="005C221C">
        <w:rPr>
          <w:rFonts w:ascii="Arial" w:hAnsi="Arial" w:cs="Arial"/>
          <w:sz w:val="18"/>
        </w:rPr>
        <w:t xml:space="preserve">Evidence provided by Goldman Sachs </w:t>
      </w:r>
      <w:r w:rsidR="00C92478" w:rsidRPr="005C221C">
        <w:rPr>
          <w:rFonts w:ascii="Arial" w:hAnsi="Arial" w:cs="Arial"/>
          <w:sz w:val="18"/>
        </w:rPr>
        <w:t xml:space="preserve">[subsequent to 22 December] </w:t>
      </w:r>
      <w:r w:rsidRPr="005C221C">
        <w:rPr>
          <w:rFonts w:ascii="Arial" w:hAnsi="Arial" w:cs="Arial"/>
          <w:sz w:val="18"/>
        </w:rPr>
        <w:t>showing that they had less than 2% voting shares was considered by Bank of Portugal to be insufficient for it to reverse its decision. The Bank of Portugal says cash settled swaps have an influence on BES voting rights.</w:t>
      </w:r>
    </w:p>
    <w:p w:rsidR="009F57F2" w:rsidRPr="005C221C" w:rsidRDefault="009F57F2" w:rsidP="009F57F2">
      <w:pPr>
        <w:numPr>
          <w:ilvl w:val="1"/>
          <w:numId w:val="2"/>
        </w:numPr>
        <w:tabs>
          <w:tab w:val="num" w:pos="1418"/>
        </w:tabs>
        <w:spacing w:before="120" w:after="120" w:line="240" w:lineRule="auto"/>
        <w:ind w:left="1418" w:hanging="567"/>
        <w:jc w:val="both"/>
        <w:outlineLvl w:val="1"/>
        <w:rPr>
          <w:rFonts w:ascii="Arial" w:hAnsi="Arial" w:cs="Arial"/>
          <w:sz w:val="18"/>
        </w:rPr>
      </w:pPr>
      <w:r w:rsidRPr="005C221C">
        <w:rPr>
          <w:rFonts w:ascii="Arial" w:hAnsi="Arial" w:cs="Arial"/>
          <w:sz w:val="18"/>
        </w:rPr>
        <w:t xml:space="preserve">The Bank of Portugal’s view is that evidence that third party investors provided the funds to Oak Finance to make the loan to BES may only be confirmed by a court. </w:t>
      </w:r>
    </w:p>
    <w:p w:rsidR="00E8263D" w:rsidRPr="005351F9" w:rsidRDefault="00E8263D" w:rsidP="00B85A35">
      <w:pPr>
        <w:spacing w:line="240" w:lineRule="auto"/>
        <w:rPr>
          <w:rFonts w:ascii="Arial" w:hAnsi="Arial" w:cs="Arial"/>
          <w:b/>
          <w:sz w:val="20"/>
          <w:szCs w:val="20"/>
        </w:rPr>
      </w:pPr>
      <w:r w:rsidRPr="005351F9">
        <w:rPr>
          <w:rFonts w:ascii="Arial" w:hAnsi="Arial" w:cs="Arial"/>
          <w:b/>
          <w:sz w:val="20"/>
          <w:szCs w:val="20"/>
        </w:rPr>
        <w:t>Was the Oak Finance structure intended to circumvent the 2% rule?</w:t>
      </w:r>
    </w:p>
    <w:p w:rsidR="00E8263D" w:rsidRPr="005351F9" w:rsidRDefault="00E8263D" w:rsidP="00B85A35">
      <w:pPr>
        <w:spacing w:line="240" w:lineRule="auto"/>
        <w:jc w:val="both"/>
        <w:rPr>
          <w:rFonts w:ascii="Arial" w:hAnsi="Arial" w:cs="Arial"/>
          <w:sz w:val="20"/>
          <w:szCs w:val="20"/>
        </w:rPr>
      </w:pPr>
      <w:r w:rsidRPr="005351F9">
        <w:rPr>
          <w:rFonts w:ascii="Arial" w:hAnsi="Arial" w:cs="Arial"/>
          <w:sz w:val="20"/>
          <w:szCs w:val="20"/>
        </w:rPr>
        <w:t>No. The financing was conceived of and implemented prior to both the introduction of the 2% rule and the apprehension of BES’ imminent insolvency.  Refer to the timeline provided for further details.</w:t>
      </w:r>
    </w:p>
    <w:p w:rsidR="004D67F3" w:rsidRPr="005351F9" w:rsidRDefault="00235672" w:rsidP="00B85A35">
      <w:pPr>
        <w:spacing w:line="240" w:lineRule="auto"/>
        <w:jc w:val="both"/>
        <w:rPr>
          <w:rFonts w:ascii="Arial" w:hAnsi="Arial" w:cs="Arial"/>
          <w:b/>
          <w:sz w:val="20"/>
          <w:szCs w:val="20"/>
        </w:rPr>
      </w:pPr>
      <w:r w:rsidRPr="005351F9">
        <w:rPr>
          <w:rFonts w:ascii="Arial" w:hAnsi="Arial" w:cs="Arial"/>
          <w:b/>
          <w:sz w:val="20"/>
          <w:szCs w:val="20"/>
        </w:rPr>
        <w:t>Why did the New Zealand Superannuation Fund</w:t>
      </w:r>
      <w:r w:rsidR="00402553" w:rsidRPr="005351F9">
        <w:rPr>
          <w:rFonts w:ascii="Arial" w:hAnsi="Arial" w:cs="Arial"/>
          <w:b/>
          <w:sz w:val="20"/>
          <w:szCs w:val="20"/>
        </w:rPr>
        <w:t xml:space="preserve"> invest in the Oak Finance bonds in the first place?</w:t>
      </w:r>
    </w:p>
    <w:p w:rsidR="004D67F3" w:rsidRPr="005351F9" w:rsidRDefault="004D67F3" w:rsidP="00B85A35">
      <w:pPr>
        <w:spacing w:line="240" w:lineRule="auto"/>
        <w:jc w:val="both"/>
        <w:rPr>
          <w:rFonts w:ascii="Arial" w:hAnsi="Arial" w:cs="Arial"/>
          <w:sz w:val="20"/>
          <w:szCs w:val="20"/>
        </w:rPr>
      </w:pPr>
      <w:r w:rsidRPr="005351F9">
        <w:rPr>
          <w:rFonts w:ascii="Arial" w:hAnsi="Arial" w:cs="Arial"/>
          <w:sz w:val="20"/>
          <w:szCs w:val="20"/>
        </w:rPr>
        <w:t>This investment is part o</w:t>
      </w:r>
      <w:r w:rsidR="00235672" w:rsidRPr="005351F9">
        <w:rPr>
          <w:rFonts w:ascii="Arial" w:hAnsi="Arial" w:cs="Arial"/>
          <w:sz w:val="20"/>
          <w:szCs w:val="20"/>
        </w:rPr>
        <w:t xml:space="preserve">f a broader </w:t>
      </w:r>
      <w:r w:rsidRPr="005351F9">
        <w:rPr>
          <w:rFonts w:ascii="Arial" w:hAnsi="Arial" w:cs="Arial"/>
          <w:sz w:val="20"/>
          <w:szCs w:val="20"/>
        </w:rPr>
        <w:t xml:space="preserve">active investment strategy to invest in a range of credit opportunities globally. This strategy has been in place for a number of years and has been successful over time and when considered as a whole. </w:t>
      </w:r>
    </w:p>
    <w:p w:rsidR="00235672" w:rsidRPr="005351F9" w:rsidRDefault="00235672" w:rsidP="00B85A35">
      <w:pPr>
        <w:spacing w:line="240" w:lineRule="auto"/>
        <w:jc w:val="both"/>
        <w:rPr>
          <w:rFonts w:ascii="Arial" w:hAnsi="Arial" w:cs="Arial"/>
          <w:sz w:val="20"/>
          <w:szCs w:val="20"/>
        </w:rPr>
      </w:pPr>
      <w:r w:rsidRPr="005351F9">
        <w:rPr>
          <w:rFonts w:ascii="Arial" w:hAnsi="Arial" w:cs="Arial"/>
          <w:sz w:val="20"/>
          <w:szCs w:val="20"/>
        </w:rPr>
        <w:t>This particular investment opportunity was to purchase the bonds at a level where the Fund was getting a yield that that was higher than the cost of the credit protection insurance that it also bought.</w:t>
      </w:r>
    </w:p>
    <w:p w:rsidR="002D4C8F" w:rsidRPr="005351F9" w:rsidRDefault="002D4C8F" w:rsidP="00B85A35">
      <w:pPr>
        <w:spacing w:line="240" w:lineRule="auto"/>
        <w:jc w:val="both"/>
        <w:rPr>
          <w:rFonts w:ascii="Arial" w:hAnsi="Arial" w:cs="Arial"/>
          <w:b/>
          <w:sz w:val="20"/>
          <w:szCs w:val="20"/>
        </w:rPr>
      </w:pPr>
      <w:r w:rsidRPr="005351F9">
        <w:rPr>
          <w:rFonts w:ascii="Arial" w:hAnsi="Arial" w:cs="Arial"/>
          <w:b/>
          <w:sz w:val="20"/>
          <w:szCs w:val="20"/>
        </w:rPr>
        <w:t>Were you concerned about the bank’s solvency?</w:t>
      </w:r>
    </w:p>
    <w:p w:rsidR="002D4C8F" w:rsidRPr="005351F9" w:rsidRDefault="00090868" w:rsidP="00B85A35">
      <w:pPr>
        <w:spacing w:line="240" w:lineRule="auto"/>
        <w:jc w:val="both"/>
        <w:rPr>
          <w:rFonts w:ascii="Arial" w:hAnsi="Arial" w:cs="Arial"/>
          <w:sz w:val="20"/>
          <w:szCs w:val="20"/>
        </w:rPr>
      </w:pPr>
      <w:r w:rsidRPr="005351F9">
        <w:rPr>
          <w:rFonts w:ascii="Arial" w:hAnsi="Arial" w:cs="Arial"/>
          <w:sz w:val="20"/>
          <w:szCs w:val="20"/>
        </w:rPr>
        <w:t>BES</w:t>
      </w:r>
      <w:r w:rsidR="002D4C8F" w:rsidRPr="005351F9">
        <w:rPr>
          <w:rFonts w:ascii="Arial" w:hAnsi="Arial" w:cs="Arial"/>
          <w:sz w:val="20"/>
          <w:szCs w:val="20"/>
        </w:rPr>
        <w:t xml:space="preserve"> was at the time of the loan Portugal’s largest commercial listed bank and had successfully completed a EUR1 billion </w:t>
      </w:r>
      <w:r w:rsidR="00331153">
        <w:rPr>
          <w:rFonts w:ascii="Arial" w:hAnsi="Arial" w:cs="Arial"/>
          <w:sz w:val="20"/>
          <w:szCs w:val="20"/>
        </w:rPr>
        <w:t xml:space="preserve">equity </w:t>
      </w:r>
      <w:r w:rsidR="002D4C8F" w:rsidRPr="005351F9">
        <w:rPr>
          <w:rFonts w:ascii="Arial" w:hAnsi="Arial" w:cs="Arial"/>
          <w:sz w:val="20"/>
          <w:szCs w:val="20"/>
        </w:rPr>
        <w:t>right</w:t>
      </w:r>
      <w:r w:rsidR="00331153">
        <w:rPr>
          <w:rFonts w:ascii="Arial" w:hAnsi="Arial" w:cs="Arial"/>
          <w:sz w:val="20"/>
          <w:szCs w:val="20"/>
        </w:rPr>
        <w:t>s</w:t>
      </w:r>
      <w:r w:rsidR="002D4C8F" w:rsidRPr="005351F9">
        <w:rPr>
          <w:rFonts w:ascii="Arial" w:hAnsi="Arial" w:cs="Arial"/>
          <w:sz w:val="20"/>
          <w:szCs w:val="20"/>
        </w:rPr>
        <w:t xml:space="preserve"> issue in June 2014.</w:t>
      </w:r>
      <w:r w:rsidR="00331153">
        <w:rPr>
          <w:rFonts w:ascii="Arial" w:hAnsi="Arial" w:cs="Arial"/>
          <w:sz w:val="20"/>
          <w:szCs w:val="20"/>
        </w:rPr>
        <w:t xml:space="preserve">Immediately after completing this equity rights issue brokers estimated that </w:t>
      </w:r>
      <w:r w:rsidR="005E5C0F" w:rsidRPr="005351F9">
        <w:rPr>
          <w:rFonts w:ascii="Arial" w:hAnsi="Arial" w:cs="Arial"/>
          <w:sz w:val="20"/>
          <w:szCs w:val="20"/>
        </w:rPr>
        <w:t xml:space="preserve">BES had a tier 1 capital </w:t>
      </w:r>
      <w:r w:rsidR="008C6CDF" w:rsidRPr="005351F9">
        <w:rPr>
          <w:rFonts w:ascii="Arial" w:hAnsi="Arial" w:cs="Arial"/>
          <w:sz w:val="20"/>
          <w:szCs w:val="20"/>
        </w:rPr>
        <w:t xml:space="preserve">ratio </w:t>
      </w:r>
      <w:r w:rsidR="005E5C0F" w:rsidRPr="005351F9">
        <w:rPr>
          <w:rFonts w:ascii="Arial" w:hAnsi="Arial" w:cs="Arial"/>
          <w:sz w:val="20"/>
          <w:szCs w:val="20"/>
        </w:rPr>
        <w:t>of 10.4</w:t>
      </w:r>
      <w:r w:rsidR="008C6CDF" w:rsidRPr="005351F9">
        <w:rPr>
          <w:rFonts w:ascii="Arial" w:hAnsi="Arial" w:cs="Arial"/>
          <w:sz w:val="20"/>
          <w:szCs w:val="20"/>
        </w:rPr>
        <w:t>%</w:t>
      </w:r>
      <w:r w:rsidR="005E5C0F" w:rsidRPr="005351F9">
        <w:rPr>
          <w:rFonts w:ascii="Arial" w:hAnsi="Arial" w:cs="Arial"/>
          <w:sz w:val="20"/>
          <w:szCs w:val="20"/>
        </w:rPr>
        <w:t xml:space="preserve"> ando</w:t>
      </w:r>
      <w:r w:rsidR="002D4C8F" w:rsidRPr="005351F9">
        <w:rPr>
          <w:rFonts w:ascii="Arial" w:hAnsi="Arial" w:cs="Arial"/>
          <w:sz w:val="20"/>
          <w:szCs w:val="20"/>
        </w:rPr>
        <w:t xml:space="preserve">n 30 June 2014 the Bank of Portugal stated that </w:t>
      </w:r>
      <w:r w:rsidRPr="005351F9">
        <w:rPr>
          <w:rFonts w:ascii="Arial" w:hAnsi="Arial" w:cs="Arial"/>
          <w:sz w:val="20"/>
          <w:szCs w:val="20"/>
        </w:rPr>
        <w:t>BES</w:t>
      </w:r>
      <w:r w:rsidR="002D4C8F" w:rsidRPr="005351F9">
        <w:rPr>
          <w:rFonts w:ascii="Arial" w:hAnsi="Arial" w:cs="Arial"/>
          <w:sz w:val="20"/>
          <w:szCs w:val="20"/>
        </w:rPr>
        <w:t xml:space="preserve"> had a solid solvency position.</w:t>
      </w:r>
    </w:p>
    <w:p w:rsidR="004D67F3" w:rsidRPr="005351F9" w:rsidRDefault="004D67F3" w:rsidP="00B85A35">
      <w:pPr>
        <w:spacing w:line="240" w:lineRule="auto"/>
        <w:jc w:val="both"/>
        <w:rPr>
          <w:rFonts w:ascii="Arial" w:hAnsi="Arial" w:cs="Arial"/>
          <w:b/>
          <w:sz w:val="20"/>
          <w:szCs w:val="20"/>
        </w:rPr>
      </w:pPr>
      <w:r w:rsidRPr="005351F9">
        <w:rPr>
          <w:rFonts w:ascii="Arial" w:hAnsi="Arial" w:cs="Arial"/>
          <w:b/>
          <w:sz w:val="20"/>
          <w:szCs w:val="20"/>
        </w:rPr>
        <w:t xml:space="preserve">What </w:t>
      </w:r>
      <w:r w:rsidR="009F57F2">
        <w:rPr>
          <w:rFonts w:ascii="Arial" w:hAnsi="Arial" w:cs="Arial"/>
          <w:b/>
          <w:sz w:val="20"/>
          <w:szCs w:val="20"/>
        </w:rPr>
        <w:t>is the loan</w:t>
      </w:r>
      <w:r w:rsidRPr="005351F9">
        <w:rPr>
          <w:rFonts w:ascii="Arial" w:hAnsi="Arial" w:cs="Arial"/>
          <w:b/>
          <w:sz w:val="20"/>
          <w:szCs w:val="20"/>
        </w:rPr>
        <w:t xml:space="preserve"> worth now?</w:t>
      </w:r>
    </w:p>
    <w:p w:rsidR="004D67F3" w:rsidRPr="005351F9" w:rsidRDefault="008531B0" w:rsidP="00B85A35">
      <w:pPr>
        <w:spacing w:line="240" w:lineRule="auto"/>
        <w:rPr>
          <w:rFonts w:ascii="Arial" w:hAnsi="Arial" w:cs="Arial"/>
          <w:sz w:val="20"/>
          <w:szCs w:val="20"/>
        </w:rPr>
      </w:pPr>
      <w:r>
        <w:rPr>
          <w:rFonts w:ascii="Arial" w:hAnsi="Arial" w:cs="Arial"/>
          <w:sz w:val="20"/>
          <w:szCs w:val="20"/>
        </w:rPr>
        <w:lastRenderedPageBreak/>
        <w:t>We have taken a</w:t>
      </w:r>
      <w:r w:rsidR="00A82AFA">
        <w:rPr>
          <w:rFonts w:ascii="Arial" w:hAnsi="Arial" w:cs="Arial"/>
          <w:sz w:val="20"/>
          <w:szCs w:val="20"/>
        </w:rPr>
        <w:t>n extremely</w:t>
      </w:r>
      <w:r>
        <w:rPr>
          <w:rFonts w:ascii="Arial" w:hAnsi="Arial" w:cs="Arial"/>
          <w:sz w:val="20"/>
          <w:szCs w:val="20"/>
        </w:rPr>
        <w:t xml:space="preserve"> conservative position and are not ascribing any</w:t>
      </w:r>
      <w:r w:rsidR="00A82AFA">
        <w:rPr>
          <w:rFonts w:ascii="Arial" w:hAnsi="Arial" w:cs="Arial"/>
          <w:sz w:val="20"/>
          <w:szCs w:val="20"/>
        </w:rPr>
        <w:t xml:space="preserve"> value to the loan as at today. 2/3 of the write-down was reflected in our December performance figures. </w:t>
      </w:r>
      <w:r w:rsidR="009F57F2">
        <w:rPr>
          <w:rFonts w:ascii="Arial" w:hAnsi="Arial" w:cs="Arial"/>
          <w:sz w:val="20"/>
          <w:szCs w:val="20"/>
        </w:rPr>
        <w:t xml:space="preserve">Ultimately </w:t>
      </w:r>
      <w:r w:rsidR="00A82AFA">
        <w:rPr>
          <w:rFonts w:ascii="Arial" w:hAnsi="Arial" w:cs="Arial"/>
          <w:sz w:val="20"/>
          <w:szCs w:val="20"/>
        </w:rPr>
        <w:t xml:space="preserve">the </w:t>
      </w:r>
      <w:r>
        <w:rPr>
          <w:rFonts w:ascii="Arial" w:hAnsi="Arial" w:cs="Arial"/>
          <w:sz w:val="20"/>
          <w:szCs w:val="20"/>
        </w:rPr>
        <w:t>value</w:t>
      </w:r>
      <w:r w:rsidR="00A82AFA">
        <w:rPr>
          <w:rFonts w:ascii="Arial" w:hAnsi="Arial" w:cs="Arial"/>
          <w:sz w:val="20"/>
          <w:szCs w:val="20"/>
        </w:rPr>
        <w:t xml:space="preserve"> of the loan</w:t>
      </w:r>
      <w:r w:rsidR="009F57F2">
        <w:rPr>
          <w:rFonts w:ascii="Arial" w:hAnsi="Arial" w:cs="Arial"/>
          <w:sz w:val="20"/>
          <w:szCs w:val="20"/>
        </w:rPr>
        <w:t xml:space="preserve"> depends on the outcome of the court case as it</w:t>
      </w:r>
      <w:r w:rsidR="004D67F3" w:rsidRPr="005351F9">
        <w:rPr>
          <w:rFonts w:ascii="Arial" w:hAnsi="Arial" w:cs="Arial"/>
          <w:sz w:val="20"/>
          <w:szCs w:val="20"/>
        </w:rPr>
        <w:t xml:space="preserve"> depends on whether the loan rests with </w:t>
      </w:r>
      <w:r w:rsidR="00090868" w:rsidRPr="005351F9">
        <w:rPr>
          <w:rFonts w:ascii="Arial" w:hAnsi="Arial" w:cs="Arial"/>
          <w:sz w:val="20"/>
          <w:szCs w:val="20"/>
        </w:rPr>
        <w:t>BES</w:t>
      </w:r>
      <w:r w:rsidR="004D67F3" w:rsidRPr="005351F9">
        <w:rPr>
          <w:rFonts w:ascii="Arial" w:hAnsi="Arial" w:cs="Arial"/>
          <w:sz w:val="20"/>
          <w:szCs w:val="20"/>
        </w:rPr>
        <w:t xml:space="preserve"> or Novo Banco and the issue of where </w:t>
      </w:r>
      <w:r w:rsidR="009F57F2">
        <w:rPr>
          <w:rFonts w:ascii="Arial" w:hAnsi="Arial" w:cs="Arial"/>
          <w:sz w:val="20"/>
          <w:szCs w:val="20"/>
        </w:rPr>
        <w:t>it</w:t>
      </w:r>
      <w:r w:rsidR="004D67F3" w:rsidRPr="005351F9">
        <w:rPr>
          <w:rFonts w:ascii="Arial" w:hAnsi="Arial" w:cs="Arial"/>
          <w:sz w:val="20"/>
          <w:szCs w:val="20"/>
        </w:rPr>
        <w:t xml:space="preserve">should sit is what is being disputed. </w:t>
      </w:r>
      <w:r>
        <w:rPr>
          <w:rFonts w:ascii="Arial" w:hAnsi="Arial" w:cs="Arial"/>
          <w:sz w:val="20"/>
          <w:szCs w:val="20"/>
        </w:rPr>
        <w:t>We believe we have a strong case.</w:t>
      </w:r>
    </w:p>
    <w:p w:rsidR="00402553" w:rsidRPr="005351F9" w:rsidRDefault="00402553" w:rsidP="00B85A35">
      <w:pPr>
        <w:spacing w:line="240" w:lineRule="auto"/>
        <w:rPr>
          <w:rFonts w:ascii="Arial" w:hAnsi="Arial" w:cs="Arial"/>
          <w:b/>
          <w:sz w:val="20"/>
          <w:szCs w:val="20"/>
        </w:rPr>
      </w:pPr>
      <w:r w:rsidRPr="005351F9">
        <w:rPr>
          <w:rFonts w:ascii="Arial" w:hAnsi="Arial" w:cs="Arial"/>
          <w:b/>
          <w:sz w:val="20"/>
          <w:szCs w:val="20"/>
        </w:rPr>
        <w:t>What is the impact on the Fund’s pe</w:t>
      </w:r>
      <w:r w:rsidR="00235672" w:rsidRPr="005351F9">
        <w:rPr>
          <w:rFonts w:ascii="Arial" w:hAnsi="Arial" w:cs="Arial"/>
          <w:b/>
          <w:sz w:val="20"/>
          <w:szCs w:val="20"/>
        </w:rPr>
        <w:t>rformance?</w:t>
      </w:r>
    </w:p>
    <w:p w:rsidR="006A336E" w:rsidRDefault="006A336E" w:rsidP="006A336E">
      <w:pPr>
        <w:rPr>
          <w:rFonts w:ascii="Arial" w:hAnsi="Arial" w:cs="Arial"/>
          <w:sz w:val="20"/>
          <w:szCs w:val="20"/>
        </w:rPr>
      </w:pPr>
      <w:r>
        <w:rPr>
          <w:rFonts w:ascii="Arial" w:hAnsi="Arial" w:cs="Arial"/>
          <w:sz w:val="20"/>
          <w:szCs w:val="20"/>
        </w:rPr>
        <w:t>W</w:t>
      </w:r>
      <w:r w:rsidRPr="005351F9">
        <w:rPr>
          <w:rFonts w:ascii="Arial" w:hAnsi="Arial" w:cs="Arial"/>
          <w:sz w:val="20"/>
          <w:szCs w:val="20"/>
        </w:rPr>
        <w:t xml:space="preserve">hile US$150 million is a large investment in dollar terms, it represents only 0.7% of the total </w:t>
      </w:r>
      <w:r>
        <w:rPr>
          <w:rFonts w:ascii="Arial" w:hAnsi="Arial" w:cs="Arial"/>
          <w:sz w:val="20"/>
          <w:szCs w:val="20"/>
        </w:rPr>
        <w:t>New Zealand Superannuation Fund.</w:t>
      </w:r>
    </w:p>
    <w:p w:rsidR="006A336E" w:rsidRDefault="006A336E" w:rsidP="006A336E">
      <w:pPr>
        <w:pStyle w:val="PlainText"/>
        <w:spacing w:after="200"/>
        <w:rPr>
          <w:rFonts w:ascii="Arial" w:hAnsi="Arial" w:cs="Arial"/>
          <w:sz w:val="20"/>
          <w:szCs w:val="20"/>
        </w:rPr>
      </w:pPr>
      <w:r w:rsidRPr="004D148D">
        <w:rPr>
          <w:rFonts w:ascii="Arial" w:hAnsi="Arial" w:cs="Arial"/>
          <w:sz w:val="20"/>
          <w:szCs w:val="20"/>
        </w:rPr>
        <w:t xml:space="preserve">Overall the Fund, which is highly diversified and of which this is only a small part, continues to perform well, as does the strategy of which </w:t>
      </w:r>
      <w:r>
        <w:rPr>
          <w:rFonts w:ascii="Arial" w:hAnsi="Arial" w:cs="Arial"/>
          <w:sz w:val="20"/>
          <w:szCs w:val="20"/>
        </w:rPr>
        <w:t xml:space="preserve">this investment was undertaken. To illustrate, even after factoring in a conservative write-down of this loan to zero, </w:t>
      </w:r>
      <w:r w:rsidR="006E43C0">
        <w:rPr>
          <w:rFonts w:ascii="Arial" w:hAnsi="Arial" w:cs="Arial"/>
          <w:sz w:val="20"/>
          <w:szCs w:val="20"/>
        </w:rPr>
        <w:t>the Fund</w:t>
      </w:r>
      <w:r>
        <w:rPr>
          <w:rFonts w:ascii="Arial" w:hAnsi="Arial" w:cs="Arial"/>
          <w:sz w:val="20"/>
          <w:szCs w:val="20"/>
        </w:rPr>
        <w:t xml:space="preserve"> has returned 16.71% over the last 12 months (as at 31 January 2015, after costs, before tax).</w:t>
      </w:r>
    </w:p>
    <w:p w:rsidR="004D148D" w:rsidRDefault="004D148D" w:rsidP="004D148D">
      <w:pPr>
        <w:pStyle w:val="PlainText"/>
        <w:spacing w:after="200"/>
        <w:rPr>
          <w:rFonts w:ascii="Arial" w:hAnsi="Arial" w:cs="Arial"/>
          <w:sz w:val="20"/>
          <w:szCs w:val="20"/>
        </w:rPr>
      </w:pPr>
      <w:r w:rsidRPr="004D148D">
        <w:rPr>
          <w:rFonts w:ascii="Arial" w:hAnsi="Arial" w:cs="Arial"/>
          <w:sz w:val="20"/>
          <w:szCs w:val="20"/>
        </w:rPr>
        <w:t>The impact on</w:t>
      </w:r>
      <w:r w:rsidR="006A336E">
        <w:rPr>
          <w:rFonts w:ascii="Arial" w:hAnsi="Arial" w:cs="Arial"/>
          <w:sz w:val="20"/>
          <w:szCs w:val="20"/>
        </w:rPr>
        <w:t xml:space="preserve"> financ</w:t>
      </w:r>
      <w:r w:rsidR="006E43C0">
        <w:rPr>
          <w:rFonts w:ascii="Arial" w:hAnsi="Arial" w:cs="Arial"/>
          <w:sz w:val="20"/>
          <w:szCs w:val="20"/>
        </w:rPr>
        <w:t>i</w:t>
      </w:r>
      <w:r w:rsidR="006A336E">
        <w:rPr>
          <w:rFonts w:ascii="Arial" w:hAnsi="Arial" w:cs="Arial"/>
          <w:sz w:val="20"/>
          <w:szCs w:val="20"/>
        </w:rPr>
        <w:t>al</w:t>
      </w:r>
      <w:r w:rsidR="006E43C0">
        <w:rPr>
          <w:rFonts w:ascii="Arial" w:hAnsi="Arial" w:cs="Arial"/>
          <w:sz w:val="20"/>
          <w:szCs w:val="20"/>
        </w:rPr>
        <w:t xml:space="preserve"> year to date performance</w:t>
      </w:r>
      <w:r w:rsidRPr="004D148D">
        <w:rPr>
          <w:rFonts w:ascii="Arial" w:hAnsi="Arial" w:cs="Arial"/>
          <w:sz w:val="20"/>
          <w:szCs w:val="20"/>
        </w:rPr>
        <w:t xml:space="preserve"> will be to lower </w:t>
      </w:r>
      <w:r w:rsidR="006A336E">
        <w:rPr>
          <w:rFonts w:ascii="Arial" w:hAnsi="Arial" w:cs="Arial"/>
          <w:sz w:val="20"/>
          <w:szCs w:val="20"/>
        </w:rPr>
        <w:t xml:space="preserve">Fund returns </w:t>
      </w:r>
      <w:r w:rsidRPr="004D148D">
        <w:rPr>
          <w:rFonts w:ascii="Arial" w:hAnsi="Arial" w:cs="Arial"/>
          <w:sz w:val="20"/>
          <w:szCs w:val="20"/>
        </w:rPr>
        <w:t xml:space="preserve">by 0.69%. This will also lower </w:t>
      </w:r>
      <w:r>
        <w:rPr>
          <w:rFonts w:ascii="Arial" w:hAnsi="Arial" w:cs="Arial"/>
          <w:sz w:val="20"/>
          <w:szCs w:val="20"/>
        </w:rPr>
        <w:t>the Fund’ss</w:t>
      </w:r>
      <w:r w:rsidRPr="004D148D">
        <w:rPr>
          <w:rFonts w:ascii="Arial" w:hAnsi="Arial" w:cs="Arial"/>
          <w:sz w:val="20"/>
          <w:szCs w:val="20"/>
        </w:rPr>
        <w:t xml:space="preserve">ince </w:t>
      </w:r>
      <w:r>
        <w:rPr>
          <w:rFonts w:ascii="Arial" w:hAnsi="Arial" w:cs="Arial"/>
          <w:sz w:val="20"/>
          <w:szCs w:val="20"/>
        </w:rPr>
        <w:t>i</w:t>
      </w:r>
      <w:r w:rsidRPr="004D148D">
        <w:rPr>
          <w:rFonts w:ascii="Arial" w:hAnsi="Arial" w:cs="Arial"/>
          <w:sz w:val="20"/>
          <w:szCs w:val="20"/>
        </w:rPr>
        <w:t>nception annual</w:t>
      </w:r>
      <w:r>
        <w:rPr>
          <w:rFonts w:ascii="Arial" w:hAnsi="Arial" w:cs="Arial"/>
          <w:sz w:val="20"/>
          <w:szCs w:val="20"/>
        </w:rPr>
        <w:t>ised</w:t>
      </w:r>
      <w:r w:rsidR="006C0186">
        <w:rPr>
          <w:rFonts w:ascii="Arial" w:hAnsi="Arial" w:cs="Arial"/>
          <w:sz w:val="20"/>
          <w:szCs w:val="20"/>
        </w:rPr>
        <w:t xml:space="preserve"> return by 0.07% (from 10.01% p.a. to 9.98% p.a.)</w:t>
      </w:r>
    </w:p>
    <w:p w:rsidR="00E8263D" w:rsidRPr="005351F9" w:rsidRDefault="00E8263D" w:rsidP="00B85A35">
      <w:pPr>
        <w:pStyle w:val="PlainText"/>
        <w:spacing w:after="200"/>
        <w:rPr>
          <w:rFonts w:ascii="Arial" w:hAnsi="Arial" w:cs="Arial"/>
          <w:b/>
          <w:sz w:val="20"/>
          <w:szCs w:val="20"/>
        </w:rPr>
      </w:pPr>
      <w:r w:rsidRPr="005351F9">
        <w:rPr>
          <w:rFonts w:ascii="Arial" w:hAnsi="Arial" w:cs="Arial"/>
          <w:b/>
          <w:sz w:val="20"/>
          <w:szCs w:val="20"/>
        </w:rPr>
        <w:t>Did you have credit protection insurance?</w:t>
      </w:r>
    </w:p>
    <w:p w:rsidR="00E8263D" w:rsidRPr="005351F9" w:rsidRDefault="00E8263D" w:rsidP="00B85A35">
      <w:pPr>
        <w:pStyle w:val="PlainText"/>
        <w:spacing w:after="200"/>
        <w:rPr>
          <w:rFonts w:ascii="Arial" w:hAnsi="Arial" w:cs="Arial"/>
          <w:sz w:val="20"/>
          <w:szCs w:val="20"/>
        </w:rPr>
      </w:pPr>
      <w:r w:rsidRPr="005351F9">
        <w:rPr>
          <w:rFonts w:ascii="Arial" w:hAnsi="Arial" w:cs="Arial"/>
          <w:sz w:val="20"/>
          <w:szCs w:val="20"/>
        </w:rPr>
        <w:t xml:space="preserve">Yes, we purchased credit protection insurance on Banco Espírito Santo at the time the Oak Finance made the loan to Banco Espírito Santo.  Following the intervention at the Bank of Portugal and the transfer of the senior obligations (including the Oak Finance loan) to Novo Banco, the International Swaps and Derivatives Association </w:t>
      </w:r>
      <w:r w:rsidR="00FF6F96" w:rsidRPr="005351F9">
        <w:rPr>
          <w:rFonts w:ascii="Arial" w:hAnsi="Arial" w:cs="Arial"/>
          <w:sz w:val="20"/>
          <w:szCs w:val="20"/>
        </w:rPr>
        <w:t xml:space="preserve">on August 8, 2014 </w:t>
      </w:r>
      <w:r w:rsidRPr="005351F9">
        <w:rPr>
          <w:rFonts w:ascii="Arial" w:hAnsi="Arial" w:cs="Arial"/>
          <w:sz w:val="20"/>
          <w:szCs w:val="20"/>
        </w:rPr>
        <w:t>determined that a succession event had occurred.</w:t>
      </w:r>
    </w:p>
    <w:p w:rsidR="00E8263D" w:rsidRPr="005351F9" w:rsidRDefault="00FF6F96" w:rsidP="00B85A35">
      <w:pPr>
        <w:pStyle w:val="PlainText"/>
        <w:spacing w:after="200"/>
        <w:rPr>
          <w:rFonts w:ascii="Arial" w:hAnsi="Arial" w:cs="Arial"/>
          <w:sz w:val="20"/>
          <w:szCs w:val="20"/>
        </w:rPr>
      </w:pPr>
      <w:r w:rsidRPr="005351F9">
        <w:rPr>
          <w:rFonts w:ascii="Arial" w:hAnsi="Arial" w:cs="Arial"/>
          <w:sz w:val="20"/>
          <w:szCs w:val="20"/>
        </w:rPr>
        <w:t xml:space="preserve">As a result of the succession event occurring, </w:t>
      </w:r>
      <w:r w:rsidR="008C6CDF" w:rsidRPr="005351F9">
        <w:rPr>
          <w:rFonts w:ascii="Arial" w:hAnsi="Arial" w:cs="Arial"/>
          <w:sz w:val="20"/>
          <w:szCs w:val="20"/>
        </w:rPr>
        <w:t xml:space="preserve"> the Fund’s </w:t>
      </w:r>
      <w:r w:rsidR="00E8263D" w:rsidRPr="005351F9">
        <w:rPr>
          <w:rFonts w:ascii="Arial" w:hAnsi="Arial" w:cs="Arial"/>
          <w:sz w:val="20"/>
          <w:szCs w:val="20"/>
        </w:rPr>
        <w:t xml:space="preserve">credit protection therefore moved to Novo Banco in the same way that the Oak Finance bonds did. </w:t>
      </w:r>
      <w:r w:rsidR="004A658A" w:rsidRPr="005351F9">
        <w:rPr>
          <w:rFonts w:ascii="Arial" w:hAnsi="Arial" w:cs="Arial"/>
          <w:sz w:val="20"/>
          <w:szCs w:val="20"/>
        </w:rPr>
        <w:t xml:space="preserve">If the Bank of Portugal’s purported decision to move </w:t>
      </w:r>
      <w:r w:rsidR="00E8263D" w:rsidRPr="005351F9">
        <w:rPr>
          <w:rFonts w:ascii="Arial" w:hAnsi="Arial" w:cs="Arial"/>
          <w:sz w:val="20"/>
          <w:szCs w:val="20"/>
        </w:rPr>
        <w:t xml:space="preserve">the Oak Finance loan from Novo Banco to Banco Espírito Santo </w:t>
      </w:r>
      <w:r w:rsidR="004A658A" w:rsidRPr="005351F9">
        <w:rPr>
          <w:rFonts w:ascii="Arial" w:hAnsi="Arial" w:cs="Arial"/>
          <w:sz w:val="20"/>
          <w:szCs w:val="20"/>
        </w:rPr>
        <w:t xml:space="preserve">is upheld, it would be </w:t>
      </w:r>
      <w:r w:rsidR="00E8263D" w:rsidRPr="005351F9">
        <w:rPr>
          <w:rFonts w:ascii="Arial" w:hAnsi="Arial" w:cs="Arial"/>
          <w:sz w:val="20"/>
          <w:szCs w:val="20"/>
        </w:rPr>
        <w:t xml:space="preserve">likely to make our </w:t>
      </w:r>
      <w:r w:rsidRPr="005351F9">
        <w:rPr>
          <w:rFonts w:ascii="Arial" w:hAnsi="Arial" w:cs="Arial"/>
          <w:sz w:val="20"/>
          <w:szCs w:val="20"/>
        </w:rPr>
        <w:t xml:space="preserve">credit </w:t>
      </w:r>
      <w:r w:rsidR="00E8263D" w:rsidRPr="005351F9">
        <w:rPr>
          <w:rFonts w:ascii="Arial" w:hAnsi="Arial" w:cs="Arial"/>
          <w:sz w:val="20"/>
          <w:szCs w:val="20"/>
        </w:rPr>
        <w:t>insurance ineffective. The insurance follows the majority of senior debt, which remains in Novo Banco.</w:t>
      </w:r>
    </w:p>
    <w:p w:rsidR="00E8263D" w:rsidRPr="005351F9" w:rsidRDefault="00E8263D" w:rsidP="00B85A35">
      <w:pPr>
        <w:pStyle w:val="PlainText"/>
        <w:spacing w:after="200"/>
        <w:rPr>
          <w:rFonts w:ascii="Arial" w:hAnsi="Arial" w:cs="Arial"/>
          <w:b/>
          <w:sz w:val="20"/>
          <w:szCs w:val="20"/>
        </w:rPr>
      </w:pPr>
      <w:r w:rsidRPr="005351F9">
        <w:rPr>
          <w:rFonts w:ascii="Arial" w:hAnsi="Arial" w:cs="Arial"/>
          <w:b/>
          <w:sz w:val="20"/>
          <w:szCs w:val="20"/>
        </w:rPr>
        <w:t>Do you do m</w:t>
      </w:r>
      <w:r w:rsidR="00695BFC">
        <w:rPr>
          <w:rFonts w:ascii="Arial" w:hAnsi="Arial" w:cs="Arial"/>
          <w:b/>
          <w:sz w:val="20"/>
          <w:szCs w:val="20"/>
        </w:rPr>
        <w:t xml:space="preserve">any of </w:t>
      </w:r>
      <w:r w:rsidR="00C92478">
        <w:rPr>
          <w:rFonts w:ascii="Arial" w:hAnsi="Arial" w:cs="Arial"/>
          <w:b/>
          <w:sz w:val="20"/>
          <w:szCs w:val="20"/>
        </w:rPr>
        <w:t xml:space="preserve">these </w:t>
      </w:r>
      <w:r w:rsidR="00695BFC">
        <w:rPr>
          <w:rFonts w:ascii="Arial" w:hAnsi="Arial" w:cs="Arial"/>
          <w:b/>
          <w:sz w:val="20"/>
          <w:szCs w:val="20"/>
        </w:rPr>
        <w:t>sort</w:t>
      </w:r>
      <w:r w:rsidR="00C92478">
        <w:rPr>
          <w:rFonts w:ascii="Arial" w:hAnsi="Arial" w:cs="Arial"/>
          <w:b/>
          <w:sz w:val="20"/>
          <w:szCs w:val="20"/>
        </w:rPr>
        <w:t>s</w:t>
      </w:r>
      <w:r w:rsidR="00695BFC">
        <w:rPr>
          <w:rFonts w:ascii="Arial" w:hAnsi="Arial" w:cs="Arial"/>
          <w:b/>
          <w:sz w:val="20"/>
          <w:szCs w:val="20"/>
        </w:rPr>
        <w:t xml:space="preserve"> of trade</w:t>
      </w:r>
      <w:r w:rsidR="00C92478">
        <w:rPr>
          <w:rFonts w:ascii="Arial" w:hAnsi="Arial" w:cs="Arial"/>
          <w:b/>
          <w:sz w:val="20"/>
          <w:szCs w:val="20"/>
        </w:rPr>
        <w:t>s</w:t>
      </w:r>
      <w:r w:rsidRPr="005351F9">
        <w:rPr>
          <w:rFonts w:ascii="Arial" w:hAnsi="Arial" w:cs="Arial"/>
          <w:b/>
          <w:sz w:val="20"/>
          <w:szCs w:val="20"/>
        </w:rPr>
        <w:t>?</w:t>
      </w:r>
    </w:p>
    <w:p w:rsidR="00642BBF" w:rsidRPr="005351F9" w:rsidRDefault="00E8263D" w:rsidP="005C221C">
      <w:pPr>
        <w:pStyle w:val="PlainText"/>
        <w:spacing w:after="200"/>
        <w:rPr>
          <w:rFonts w:ascii="Arial" w:hAnsi="Arial" w:cs="Arial"/>
          <w:sz w:val="20"/>
          <w:szCs w:val="20"/>
        </w:rPr>
      </w:pPr>
      <w:r w:rsidRPr="005351F9">
        <w:rPr>
          <w:rFonts w:ascii="Arial" w:hAnsi="Arial" w:cs="Arial"/>
          <w:sz w:val="20"/>
          <w:szCs w:val="20"/>
        </w:rPr>
        <w:t>While this is one of many trades that have been undertaken over the years, in total this strategy makes up a small proportion of the overall Fund – around 2.5% of Fund NAV.  Overall the</w:t>
      </w:r>
      <w:r w:rsidR="005C221C">
        <w:rPr>
          <w:rFonts w:ascii="Arial" w:hAnsi="Arial" w:cs="Arial"/>
          <w:sz w:val="20"/>
          <w:szCs w:val="20"/>
        </w:rPr>
        <w:t xml:space="preserve"> strategy has been successful.</w:t>
      </w:r>
    </w:p>
    <w:sectPr w:rsidR="00642BBF" w:rsidRPr="005351F9" w:rsidSect="00A50DA5">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BAE" w:rsidRDefault="00857BAE" w:rsidP="0027114C">
      <w:pPr>
        <w:spacing w:after="0" w:line="240" w:lineRule="auto"/>
      </w:pPr>
      <w:r>
        <w:separator/>
      </w:r>
    </w:p>
  </w:endnote>
  <w:endnote w:type="continuationSeparator" w:id="1">
    <w:p w:rsidR="00857BAE" w:rsidRDefault="00857BAE" w:rsidP="002711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469412"/>
      <w:docPartObj>
        <w:docPartGallery w:val="Page Numbers (Bottom of Page)"/>
        <w:docPartUnique/>
      </w:docPartObj>
    </w:sdtPr>
    <w:sdtEndPr>
      <w:rPr>
        <w:noProof/>
      </w:rPr>
    </w:sdtEndPr>
    <w:sdtContent>
      <w:p w:rsidR="0075625D" w:rsidRDefault="00484655">
        <w:pPr>
          <w:pStyle w:val="Footer"/>
          <w:jc w:val="right"/>
        </w:pPr>
        <w:r>
          <w:fldChar w:fldCharType="begin"/>
        </w:r>
        <w:r w:rsidR="0075625D">
          <w:instrText xml:space="preserve"> PAGE   \* MERGEFORMAT </w:instrText>
        </w:r>
        <w:r>
          <w:fldChar w:fldCharType="separate"/>
        </w:r>
        <w:r w:rsidR="00C40C88">
          <w:rPr>
            <w:noProof/>
          </w:rPr>
          <w:t>3</w:t>
        </w:r>
        <w:r>
          <w:rPr>
            <w:noProof/>
          </w:rPr>
          <w:fldChar w:fldCharType="end"/>
        </w:r>
      </w:p>
    </w:sdtContent>
  </w:sdt>
  <w:p w:rsidR="0052304B" w:rsidRPr="000D739C" w:rsidRDefault="0052304B" w:rsidP="002274BD">
    <w:pPr>
      <w:pStyle w:val="Footer"/>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BAE" w:rsidRDefault="00857BAE" w:rsidP="0027114C">
      <w:pPr>
        <w:spacing w:after="0" w:line="240" w:lineRule="auto"/>
      </w:pPr>
      <w:r>
        <w:separator/>
      </w:r>
    </w:p>
  </w:footnote>
  <w:footnote w:type="continuationSeparator" w:id="1">
    <w:p w:rsidR="00857BAE" w:rsidRDefault="00857BAE" w:rsidP="0027114C">
      <w:pPr>
        <w:spacing w:after="0" w:line="240" w:lineRule="auto"/>
      </w:pPr>
      <w:r>
        <w:continuationSeparator/>
      </w:r>
    </w:p>
  </w:footnote>
  <w:footnote w:id="2">
    <w:p w:rsidR="00235672" w:rsidRDefault="000674EC" w:rsidP="00235672">
      <w:pPr>
        <w:pStyle w:val="FootnoteText"/>
      </w:pPr>
      <w:r>
        <w:rPr>
          <w:rStyle w:val="FootnoteReference"/>
        </w:rPr>
        <w:footnoteRef/>
      </w:r>
      <w:r>
        <w:t xml:space="preserve"> Although there is real doubt as to whether the purported retrospective effect of this amendment is valid as a matter of Portuguese law.</w:t>
      </w:r>
    </w:p>
  </w:footnote>
  <w:footnote w:id="3">
    <w:p w:rsidR="00122BD8" w:rsidRDefault="00122BD8" w:rsidP="00122BD8">
      <w:pPr>
        <w:pStyle w:val="FootnoteText"/>
      </w:pPr>
      <w:r>
        <w:rPr>
          <w:rStyle w:val="FootnoteReference"/>
        </w:rPr>
        <w:footnoteRef/>
      </w:r>
      <w:r>
        <w:t xml:space="preserve"> I</w:t>
      </w:r>
      <w:r w:rsidRPr="00B3377E">
        <w:t>t is only physical settled swaps pursuant to which the counterparty will acquire an interest in the shares themselves which counts for the purpose of the 2% rule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23E59"/>
    <w:multiLevelType w:val="multilevel"/>
    <w:tmpl w:val="27CAE55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51"/>
        </w:tabs>
        <w:ind w:left="851" w:hanging="851"/>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3">
      <w:start w:val="1"/>
      <w:numFmt w:val="decimal"/>
      <w:pStyle w:val="Heading4"/>
      <w:lvlText w:val="%1.%2.%3.%4"/>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Heading5"/>
      <w:lvlText w:val="%1.%2.%3.%4.%5"/>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tabs>
          <w:tab w:val="num" w:pos="2835"/>
        </w:tabs>
        <w:ind w:left="2835" w:hanging="198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pStyle w:val="Heading7"/>
      <w:lvlText w:val="%1.%2.%3.%4.%5.%6.%7"/>
      <w:lvlJc w:val="left"/>
      <w:pPr>
        <w:tabs>
          <w:tab w:val="num" w:pos="3402"/>
        </w:tabs>
        <w:ind w:left="3402" w:hanging="2551"/>
      </w:pPr>
      <w:rPr>
        <w:rFonts w:hint="default"/>
      </w:rPr>
    </w:lvl>
    <w:lvl w:ilvl="7">
      <w:start w:val="1"/>
      <w:numFmt w:val="decimal"/>
      <w:pStyle w:val="Heading8"/>
      <w:lvlText w:val="%1.%2.%3.%4.%5.%6.%7.%8"/>
      <w:lvlJc w:val="left"/>
      <w:pPr>
        <w:tabs>
          <w:tab w:val="num" w:pos="3686"/>
        </w:tabs>
        <w:ind w:left="3686" w:hanging="2835"/>
      </w:pPr>
      <w:rPr>
        <w:rFonts w:hint="default"/>
      </w:rPr>
    </w:lvl>
    <w:lvl w:ilvl="8">
      <w:start w:val="1"/>
      <w:numFmt w:val="decimal"/>
      <w:pStyle w:val="Heading9"/>
      <w:lvlText w:val="%1.%2.%3.%4.%5.%6.%7.%8.%9"/>
      <w:lvlJc w:val="left"/>
      <w:pPr>
        <w:tabs>
          <w:tab w:val="num" w:pos="3969"/>
        </w:tabs>
        <w:ind w:left="3969" w:hanging="3118"/>
      </w:pPr>
      <w:rPr>
        <w:rFonts w:hint="default"/>
      </w:rPr>
    </w:lvl>
  </w:abstractNum>
  <w:abstractNum w:abstractNumId="1">
    <w:nsid w:val="54686291"/>
    <w:multiLevelType w:val="multilevel"/>
    <w:tmpl w:val="275A0766"/>
    <w:lvl w:ilvl="0">
      <w:start w:val="1"/>
      <w:numFmt w:val="decimal"/>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tabs>
          <w:tab w:val="num" w:pos="851"/>
        </w:tabs>
        <w:ind w:left="851" w:hanging="851"/>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3">
      <w:start w:val="1"/>
      <w:numFmt w:val="decimal"/>
      <w:lvlText w:val="%1.%2.%3.%4"/>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tabs>
          <w:tab w:val="num" w:pos="2835"/>
        </w:tabs>
        <w:ind w:left="2835" w:hanging="198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Text w:val="%1.%2.%3.%4.%5.%6.%7"/>
      <w:lvlJc w:val="left"/>
      <w:pPr>
        <w:tabs>
          <w:tab w:val="num" w:pos="3402"/>
        </w:tabs>
        <w:ind w:left="3402" w:hanging="2551"/>
      </w:pPr>
      <w:rPr>
        <w:rFonts w:hint="default"/>
      </w:rPr>
    </w:lvl>
    <w:lvl w:ilvl="7">
      <w:start w:val="1"/>
      <w:numFmt w:val="decimal"/>
      <w:lvlText w:val="%1.%2.%3.%4.%5.%6.%7.%8"/>
      <w:lvlJc w:val="left"/>
      <w:pPr>
        <w:tabs>
          <w:tab w:val="num" w:pos="3686"/>
        </w:tabs>
        <w:ind w:left="3686" w:hanging="2835"/>
      </w:pPr>
      <w:rPr>
        <w:rFonts w:hint="default"/>
      </w:rPr>
    </w:lvl>
    <w:lvl w:ilvl="8">
      <w:start w:val="1"/>
      <w:numFmt w:val="decimal"/>
      <w:lvlText w:val="%1.%2.%3.%4.%5.%6.%7.%8.%9"/>
      <w:lvlJc w:val="left"/>
      <w:pPr>
        <w:tabs>
          <w:tab w:val="num" w:pos="3969"/>
        </w:tabs>
        <w:ind w:left="3969" w:hanging="3118"/>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4274"/>
  </w:hdrShapeDefaults>
  <w:footnotePr>
    <w:footnote w:id="0"/>
    <w:footnote w:id="1"/>
  </w:footnotePr>
  <w:endnotePr>
    <w:endnote w:id="0"/>
    <w:endnote w:id="1"/>
  </w:endnotePr>
  <w:compat/>
  <w:rsids>
    <w:rsidRoot w:val="00AE0256"/>
    <w:rsid w:val="00010A09"/>
    <w:rsid w:val="00041915"/>
    <w:rsid w:val="000513D3"/>
    <w:rsid w:val="000674EC"/>
    <w:rsid w:val="00076FA2"/>
    <w:rsid w:val="00090868"/>
    <w:rsid w:val="000D739C"/>
    <w:rsid w:val="00122BD8"/>
    <w:rsid w:val="00141BDC"/>
    <w:rsid w:val="001467AF"/>
    <w:rsid w:val="00146EAB"/>
    <w:rsid w:val="00173F41"/>
    <w:rsid w:val="001C70C4"/>
    <w:rsid w:val="002274BD"/>
    <w:rsid w:val="00235672"/>
    <w:rsid w:val="00241EC2"/>
    <w:rsid w:val="00251742"/>
    <w:rsid w:val="00251C8F"/>
    <w:rsid w:val="00255EB3"/>
    <w:rsid w:val="0027114C"/>
    <w:rsid w:val="002802A4"/>
    <w:rsid w:val="002837C8"/>
    <w:rsid w:val="002B2F7C"/>
    <w:rsid w:val="002D4C8F"/>
    <w:rsid w:val="00331153"/>
    <w:rsid w:val="003368B6"/>
    <w:rsid w:val="00351ED4"/>
    <w:rsid w:val="0035663E"/>
    <w:rsid w:val="003605CF"/>
    <w:rsid w:val="0036271F"/>
    <w:rsid w:val="00391D35"/>
    <w:rsid w:val="003A79DB"/>
    <w:rsid w:val="003B7C28"/>
    <w:rsid w:val="003C68B5"/>
    <w:rsid w:val="003D0619"/>
    <w:rsid w:val="003E520F"/>
    <w:rsid w:val="00402553"/>
    <w:rsid w:val="00484655"/>
    <w:rsid w:val="004A15C8"/>
    <w:rsid w:val="004A658A"/>
    <w:rsid w:val="004D148D"/>
    <w:rsid w:val="004D67F3"/>
    <w:rsid w:val="004F3BCE"/>
    <w:rsid w:val="0052304B"/>
    <w:rsid w:val="005351F9"/>
    <w:rsid w:val="005B3BCE"/>
    <w:rsid w:val="005C221C"/>
    <w:rsid w:val="005E5C0F"/>
    <w:rsid w:val="00601BA9"/>
    <w:rsid w:val="00616EE0"/>
    <w:rsid w:val="00624332"/>
    <w:rsid w:val="0062556A"/>
    <w:rsid w:val="00641378"/>
    <w:rsid w:val="00642BBF"/>
    <w:rsid w:val="00695BFC"/>
    <w:rsid w:val="006A336E"/>
    <w:rsid w:val="006C0186"/>
    <w:rsid w:val="006E43C0"/>
    <w:rsid w:val="006F1C59"/>
    <w:rsid w:val="006F24F5"/>
    <w:rsid w:val="006F692B"/>
    <w:rsid w:val="00717881"/>
    <w:rsid w:val="00726D98"/>
    <w:rsid w:val="0072795F"/>
    <w:rsid w:val="00735D62"/>
    <w:rsid w:val="00747EEC"/>
    <w:rsid w:val="0075625D"/>
    <w:rsid w:val="00757FA1"/>
    <w:rsid w:val="00774AAB"/>
    <w:rsid w:val="007C6E52"/>
    <w:rsid w:val="007E16A3"/>
    <w:rsid w:val="007E3610"/>
    <w:rsid w:val="00806270"/>
    <w:rsid w:val="008531B0"/>
    <w:rsid w:val="00857BAE"/>
    <w:rsid w:val="008905A9"/>
    <w:rsid w:val="008B0A1C"/>
    <w:rsid w:val="008C6CDF"/>
    <w:rsid w:val="008D496D"/>
    <w:rsid w:val="008F5C05"/>
    <w:rsid w:val="00976322"/>
    <w:rsid w:val="009D0E13"/>
    <w:rsid w:val="009D2EC3"/>
    <w:rsid w:val="009F2463"/>
    <w:rsid w:val="009F57F2"/>
    <w:rsid w:val="00A47EA1"/>
    <w:rsid w:val="00A50DA5"/>
    <w:rsid w:val="00A61161"/>
    <w:rsid w:val="00A82AFA"/>
    <w:rsid w:val="00A837A7"/>
    <w:rsid w:val="00A839C2"/>
    <w:rsid w:val="00AE0256"/>
    <w:rsid w:val="00AF7E4F"/>
    <w:rsid w:val="00B13861"/>
    <w:rsid w:val="00B25665"/>
    <w:rsid w:val="00B72042"/>
    <w:rsid w:val="00B85A35"/>
    <w:rsid w:val="00BB39C4"/>
    <w:rsid w:val="00BE276B"/>
    <w:rsid w:val="00C40C88"/>
    <w:rsid w:val="00C8262E"/>
    <w:rsid w:val="00C92478"/>
    <w:rsid w:val="00CA2341"/>
    <w:rsid w:val="00CD4962"/>
    <w:rsid w:val="00CF29A3"/>
    <w:rsid w:val="00CF3DB0"/>
    <w:rsid w:val="00D15256"/>
    <w:rsid w:val="00D2545F"/>
    <w:rsid w:val="00D44461"/>
    <w:rsid w:val="00D806A9"/>
    <w:rsid w:val="00DA29D5"/>
    <w:rsid w:val="00DA571C"/>
    <w:rsid w:val="00E2190C"/>
    <w:rsid w:val="00E46203"/>
    <w:rsid w:val="00E8263D"/>
    <w:rsid w:val="00E9172D"/>
    <w:rsid w:val="00E93691"/>
    <w:rsid w:val="00EE66D1"/>
    <w:rsid w:val="00F12F03"/>
    <w:rsid w:val="00F3149D"/>
    <w:rsid w:val="00F41C72"/>
    <w:rsid w:val="00F476F8"/>
    <w:rsid w:val="00F57894"/>
    <w:rsid w:val="00F57F3A"/>
    <w:rsid w:val="00F76E8A"/>
    <w:rsid w:val="00F90209"/>
    <w:rsid w:val="00FC29A3"/>
    <w:rsid w:val="00FD1E30"/>
    <w:rsid w:val="00FD3401"/>
    <w:rsid w:val="00FF6F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DA5"/>
  </w:style>
  <w:style w:type="paragraph" w:styleId="Heading1">
    <w:name w:val="heading 1"/>
    <w:aliases w:val="NZSF Heading 1"/>
    <w:basedOn w:val="Normal"/>
    <w:link w:val="Heading1Char"/>
    <w:qFormat/>
    <w:rsid w:val="009F57F2"/>
    <w:pPr>
      <w:numPr>
        <w:numId w:val="1"/>
      </w:numPr>
      <w:spacing w:before="120" w:after="120" w:line="240" w:lineRule="auto"/>
      <w:outlineLvl w:val="0"/>
    </w:pPr>
    <w:rPr>
      <w:rFonts w:ascii="Arial" w:eastAsia="Times New Roman" w:hAnsi="Arial" w:cs="Arial"/>
      <w:b/>
      <w:bCs/>
      <w:kern w:val="32"/>
      <w:szCs w:val="32"/>
      <w:lang w:val="en-US"/>
    </w:rPr>
  </w:style>
  <w:style w:type="paragraph" w:styleId="Heading2">
    <w:name w:val="heading 2"/>
    <w:basedOn w:val="Normal"/>
    <w:link w:val="Heading2Char"/>
    <w:qFormat/>
    <w:rsid w:val="009F57F2"/>
    <w:pPr>
      <w:numPr>
        <w:ilvl w:val="1"/>
        <w:numId w:val="1"/>
      </w:numPr>
      <w:spacing w:before="120" w:after="120" w:line="240" w:lineRule="auto"/>
      <w:jc w:val="both"/>
      <w:outlineLvl w:val="1"/>
    </w:pPr>
    <w:rPr>
      <w:rFonts w:ascii="Arial" w:eastAsia="Times New Roman" w:hAnsi="Arial" w:cs="Arial"/>
      <w:bCs/>
      <w:iCs/>
      <w:szCs w:val="28"/>
      <w:lang w:val="en-US"/>
    </w:rPr>
  </w:style>
  <w:style w:type="paragraph" w:styleId="Heading3">
    <w:name w:val="heading 3"/>
    <w:aliases w:val="NZSF Heading 3"/>
    <w:basedOn w:val="Normal"/>
    <w:link w:val="Heading3Char"/>
    <w:qFormat/>
    <w:rsid w:val="009F57F2"/>
    <w:pPr>
      <w:numPr>
        <w:ilvl w:val="2"/>
        <w:numId w:val="1"/>
      </w:numPr>
      <w:spacing w:before="120" w:after="120" w:line="240" w:lineRule="auto"/>
      <w:jc w:val="both"/>
      <w:outlineLvl w:val="2"/>
    </w:pPr>
    <w:rPr>
      <w:rFonts w:ascii="Arial" w:eastAsia="Times New Roman" w:hAnsi="Arial" w:cs="Arial"/>
      <w:bCs/>
      <w:lang w:val="en-US"/>
    </w:rPr>
  </w:style>
  <w:style w:type="paragraph" w:styleId="Heading4">
    <w:name w:val="heading 4"/>
    <w:basedOn w:val="Normal"/>
    <w:link w:val="Heading4Char"/>
    <w:qFormat/>
    <w:rsid w:val="009F57F2"/>
    <w:pPr>
      <w:numPr>
        <w:ilvl w:val="3"/>
        <w:numId w:val="1"/>
      </w:numPr>
      <w:spacing w:before="120" w:after="120" w:line="240" w:lineRule="auto"/>
      <w:outlineLvl w:val="3"/>
    </w:pPr>
    <w:rPr>
      <w:rFonts w:ascii="Arial" w:eastAsia="Times New Roman" w:hAnsi="Arial" w:cs="Times New Roman"/>
      <w:bCs/>
      <w:szCs w:val="28"/>
      <w:lang w:val="en-US"/>
    </w:rPr>
  </w:style>
  <w:style w:type="paragraph" w:styleId="Heading5">
    <w:name w:val="heading 5"/>
    <w:basedOn w:val="Normal"/>
    <w:next w:val="Normal"/>
    <w:link w:val="Heading5Char"/>
    <w:qFormat/>
    <w:rsid w:val="009F57F2"/>
    <w:pPr>
      <w:numPr>
        <w:ilvl w:val="4"/>
        <w:numId w:val="1"/>
      </w:numPr>
      <w:spacing w:before="240" w:after="60" w:line="240" w:lineRule="auto"/>
      <w:outlineLvl w:val="4"/>
    </w:pPr>
    <w:rPr>
      <w:rFonts w:ascii="Arial" w:eastAsia="Times New Roman" w:hAnsi="Arial" w:cs="Times New Roman"/>
      <w:bCs/>
      <w:iCs/>
      <w:szCs w:val="26"/>
      <w:lang w:val="en-US"/>
    </w:rPr>
  </w:style>
  <w:style w:type="paragraph" w:styleId="Heading6">
    <w:name w:val="heading 6"/>
    <w:basedOn w:val="Normal"/>
    <w:next w:val="Normal"/>
    <w:link w:val="Heading6Char"/>
    <w:qFormat/>
    <w:rsid w:val="009F57F2"/>
    <w:pPr>
      <w:numPr>
        <w:ilvl w:val="5"/>
        <w:numId w:val="1"/>
      </w:numPr>
      <w:spacing w:before="240" w:after="60" w:line="240" w:lineRule="auto"/>
      <w:outlineLvl w:val="5"/>
    </w:pPr>
    <w:rPr>
      <w:rFonts w:ascii="Arial" w:eastAsia="Times New Roman" w:hAnsi="Arial" w:cs="Times New Roman"/>
      <w:bCs/>
      <w:lang w:val="en-US"/>
    </w:rPr>
  </w:style>
  <w:style w:type="paragraph" w:styleId="Heading7">
    <w:name w:val="heading 7"/>
    <w:basedOn w:val="Normal"/>
    <w:next w:val="Normal"/>
    <w:link w:val="Heading7Char"/>
    <w:qFormat/>
    <w:rsid w:val="009F57F2"/>
    <w:pPr>
      <w:numPr>
        <w:ilvl w:val="6"/>
        <w:numId w:val="1"/>
      </w:numPr>
      <w:spacing w:before="240" w:after="60" w:line="240" w:lineRule="auto"/>
      <w:outlineLvl w:val="6"/>
    </w:pPr>
    <w:rPr>
      <w:rFonts w:ascii="Arial" w:eastAsia="Times New Roman" w:hAnsi="Arial" w:cs="Times New Roman"/>
      <w:szCs w:val="24"/>
      <w:lang w:val="en-US"/>
    </w:rPr>
  </w:style>
  <w:style w:type="paragraph" w:styleId="Heading8">
    <w:name w:val="heading 8"/>
    <w:basedOn w:val="Normal"/>
    <w:next w:val="Normal"/>
    <w:link w:val="Heading8Char"/>
    <w:qFormat/>
    <w:rsid w:val="009F57F2"/>
    <w:pPr>
      <w:numPr>
        <w:ilvl w:val="7"/>
        <w:numId w:val="1"/>
      </w:numPr>
      <w:spacing w:before="240" w:after="60" w:line="240" w:lineRule="auto"/>
      <w:outlineLvl w:val="7"/>
    </w:pPr>
    <w:rPr>
      <w:rFonts w:ascii="Arial" w:eastAsia="Times New Roman" w:hAnsi="Arial" w:cs="Times New Roman"/>
      <w:iCs/>
      <w:szCs w:val="24"/>
      <w:lang w:val="en-US"/>
    </w:rPr>
  </w:style>
  <w:style w:type="paragraph" w:styleId="Heading9">
    <w:name w:val="heading 9"/>
    <w:basedOn w:val="Normal"/>
    <w:next w:val="Normal"/>
    <w:link w:val="Heading9Char"/>
    <w:qFormat/>
    <w:rsid w:val="009F57F2"/>
    <w:pPr>
      <w:numPr>
        <w:ilvl w:val="8"/>
        <w:numId w:val="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14C"/>
  </w:style>
  <w:style w:type="paragraph" w:styleId="Footer">
    <w:name w:val="footer"/>
    <w:basedOn w:val="Normal"/>
    <w:link w:val="FooterChar"/>
    <w:uiPriority w:val="99"/>
    <w:unhideWhenUsed/>
    <w:rsid w:val="00271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14C"/>
  </w:style>
  <w:style w:type="paragraph" w:styleId="PlainText">
    <w:name w:val="Plain Text"/>
    <w:basedOn w:val="Normal"/>
    <w:link w:val="PlainTextChar"/>
    <w:uiPriority w:val="99"/>
    <w:unhideWhenUsed/>
    <w:rsid w:val="00173F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73F41"/>
    <w:rPr>
      <w:rFonts w:ascii="Calibri" w:hAnsi="Calibri"/>
      <w:szCs w:val="21"/>
    </w:rPr>
  </w:style>
  <w:style w:type="paragraph" w:styleId="BodyText">
    <w:name w:val="Body Text"/>
    <w:basedOn w:val="Normal"/>
    <w:link w:val="BodyTextChar"/>
    <w:qFormat/>
    <w:rsid w:val="00251742"/>
    <w:pPr>
      <w:spacing w:after="240" w:line="240" w:lineRule="auto"/>
    </w:pPr>
    <w:rPr>
      <w:rFonts w:ascii="Times New Roman" w:eastAsia="Times New Roman" w:hAnsi="Times New Roman" w:cs="Times New Roman"/>
      <w:kern w:val="24"/>
      <w:sz w:val="24"/>
      <w:szCs w:val="24"/>
      <w:lang w:val="en-US" w:eastAsia="zh-CN"/>
    </w:rPr>
  </w:style>
  <w:style w:type="character" w:customStyle="1" w:styleId="BodyTextChar">
    <w:name w:val="Body Text Char"/>
    <w:basedOn w:val="DefaultParagraphFont"/>
    <w:link w:val="BodyText"/>
    <w:rsid w:val="00251742"/>
    <w:rPr>
      <w:rFonts w:ascii="Times New Roman" w:eastAsia="Times New Roman" w:hAnsi="Times New Roman" w:cs="Times New Roman"/>
      <w:kern w:val="24"/>
      <w:sz w:val="24"/>
      <w:szCs w:val="24"/>
      <w:lang w:val="en-US" w:eastAsia="zh-CN"/>
    </w:rPr>
  </w:style>
  <w:style w:type="character" w:styleId="FootnoteReference">
    <w:name w:val="footnote reference"/>
    <w:basedOn w:val="DefaultParagraphFont"/>
    <w:rsid w:val="00251742"/>
    <w:rPr>
      <w:vertAlign w:val="superscript"/>
    </w:rPr>
  </w:style>
  <w:style w:type="paragraph" w:styleId="FootnoteText">
    <w:name w:val="footnote text"/>
    <w:basedOn w:val="Normal"/>
    <w:link w:val="FootnoteTextChar"/>
    <w:rsid w:val="00251742"/>
    <w:pPr>
      <w:spacing w:before="60" w:after="60" w:line="240" w:lineRule="auto"/>
      <w:ind w:firstLine="720"/>
    </w:pPr>
    <w:rPr>
      <w:rFonts w:ascii="Times New Roman" w:eastAsia="Times New Roman" w:hAnsi="Times New Roman" w:cs="Times New Roman"/>
      <w:kern w:val="24"/>
      <w:sz w:val="20"/>
      <w:szCs w:val="20"/>
      <w:lang w:val="en-US" w:eastAsia="zh-CN"/>
    </w:rPr>
  </w:style>
  <w:style w:type="character" w:customStyle="1" w:styleId="FootnoteTextChar">
    <w:name w:val="Footnote Text Char"/>
    <w:basedOn w:val="DefaultParagraphFont"/>
    <w:link w:val="FootnoteText"/>
    <w:rsid w:val="00251742"/>
    <w:rPr>
      <w:rFonts w:ascii="Times New Roman" w:eastAsia="Times New Roman" w:hAnsi="Times New Roman" w:cs="Times New Roman"/>
      <w:kern w:val="24"/>
      <w:sz w:val="20"/>
      <w:szCs w:val="20"/>
      <w:lang w:val="en-US" w:eastAsia="zh-CN"/>
    </w:rPr>
  </w:style>
  <w:style w:type="table" w:styleId="TableGrid">
    <w:name w:val="Table Grid"/>
    <w:basedOn w:val="TableNormal"/>
    <w:uiPriority w:val="59"/>
    <w:rsid w:val="00642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D3401"/>
    <w:rPr>
      <w:sz w:val="16"/>
      <w:szCs w:val="16"/>
    </w:rPr>
  </w:style>
  <w:style w:type="paragraph" w:styleId="CommentText">
    <w:name w:val="annotation text"/>
    <w:basedOn w:val="Normal"/>
    <w:link w:val="CommentTextChar"/>
    <w:uiPriority w:val="99"/>
    <w:semiHidden/>
    <w:unhideWhenUsed/>
    <w:rsid w:val="00FD3401"/>
    <w:pPr>
      <w:spacing w:line="240" w:lineRule="auto"/>
    </w:pPr>
    <w:rPr>
      <w:sz w:val="20"/>
      <w:szCs w:val="20"/>
    </w:rPr>
  </w:style>
  <w:style w:type="character" w:customStyle="1" w:styleId="CommentTextChar">
    <w:name w:val="Comment Text Char"/>
    <w:basedOn w:val="DefaultParagraphFont"/>
    <w:link w:val="CommentText"/>
    <w:uiPriority w:val="99"/>
    <w:semiHidden/>
    <w:rsid w:val="00FD3401"/>
    <w:rPr>
      <w:sz w:val="20"/>
      <w:szCs w:val="20"/>
    </w:rPr>
  </w:style>
  <w:style w:type="paragraph" w:styleId="CommentSubject">
    <w:name w:val="annotation subject"/>
    <w:basedOn w:val="CommentText"/>
    <w:next w:val="CommentText"/>
    <w:link w:val="CommentSubjectChar"/>
    <w:uiPriority w:val="99"/>
    <w:semiHidden/>
    <w:unhideWhenUsed/>
    <w:rsid w:val="00FD3401"/>
    <w:rPr>
      <w:b/>
      <w:bCs/>
    </w:rPr>
  </w:style>
  <w:style w:type="character" w:customStyle="1" w:styleId="CommentSubjectChar">
    <w:name w:val="Comment Subject Char"/>
    <w:basedOn w:val="CommentTextChar"/>
    <w:link w:val="CommentSubject"/>
    <w:uiPriority w:val="99"/>
    <w:semiHidden/>
    <w:rsid w:val="00FD3401"/>
    <w:rPr>
      <w:b/>
      <w:bCs/>
      <w:sz w:val="20"/>
      <w:szCs w:val="20"/>
    </w:rPr>
  </w:style>
  <w:style w:type="paragraph" w:styleId="BalloonText">
    <w:name w:val="Balloon Text"/>
    <w:basedOn w:val="Normal"/>
    <w:link w:val="BalloonTextChar"/>
    <w:uiPriority w:val="99"/>
    <w:semiHidden/>
    <w:unhideWhenUsed/>
    <w:rsid w:val="00FD340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FD3401"/>
    <w:rPr>
      <w:rFonts w:cs="Tahoma"/>
      <w:sz w:val="16"/>
      <w:szCs w:val="16"/>
    </w:rPr>
  </w:style>
  <w:style w:type="character" w:customStyle="1" w:styleId="Heading1Char">
    <w:name w:val="Heading 1 Char"/>
    <w:aliases w:val="NZSF Heading 1 Char"/>
    <w:basedOn w:val="DefaultParagraphFont"/>
    <w:link w:val="Heading1"/>
    <w:rsid w:val="009F57F2"/>
    <w:rPr>
      <w:rFonts w:ascii="Arial" w:eastAsia="Times New Roman" w:hAnsi="Arial" w:cs="Arial"/>
      <w:b/>
      <w:bCs/>
      <w:kern w:val="32"/>
      <w:szCs w:val="32"/>
      <w:lang w:val="en-US"/>
    </w:rPr>
  </w:style>
  <w:style w:type="character" w:customStyle="1" w:styleId="Heading2Char">
    <w:name w:val="Heading 2 Char"/>
    <w:basedOn w:val="DefaultParagraphFont"/>
    <w:link w:val="Heading2"/>
    <w:rsid w:val="009F57F2"/>
    <w:rPr>
      <w:rFonts w:ascii="Arial" w:eastAsia="Times New Roman" w:hAnsi="Arial" w:cs="Arial"/>
      <w:bCs/>
      <w:iCs/>
      <w:szCs w:val="28"/>
      <w:lang w:val="en-US"/>
    </w:rPr>
  </w:style>
  <w:style w:type="character" w:customStyle="1" w:styleId="Heading3Char">
    <w:name w:val="Heading 3 Char"/>
    <w:aliases w:val="NZSF Heading 3 Char"/>
    <w:basedOn w:val="DefaultParagraphFont"/>
    <w:link w:val="Heading3"/>
    <w:rsid w:val="009F57F2"/>
    <w:rPr>
      <w:rFonts w:ascii="Arial" w:eastAsia="Times New Roman" w:hAnsi="Arial" w:cs="Arial"/>
      <w:bCs/>
      <w:lang w:val="en-US"/>
    </w:rPr>
  </w:style>
  <w:style w:type="character" w:customStyle="1" w:styleId="Heading4Char">
    <w:name w:val="Heading 4 Char"/>
    <w:basedOn w:val="DefaultParagraphFont"/>
    <w:link w:val="Heading4"/>
    <w:rsid w:val="009F57F2"/>
    <w:rPr>
      <w:rFonts w:ascii="Arial" w:eastAsia="Times New Roman" w:hAnsi="Arial" w:cs="Times New Roman"/>
      <w:bCs/>
      <w:szCs w:val="28"/>
      <w:lang w:val="en-US"/>
    </w:rPr>
  </w:style>
  <w:style w:type="character" w:customStyle="1" w:styleId="Heading5Char">
    <w:name w:val="Heading 5 Char"/>
    <w:basedOn w:val="DefaultParagraphFont"/>
    <w:link w:val="Heading5"/>
    <w:rsid w:val="009F57F2"/>
    <w:rPr>
      <w:rFonts w:ascii="Arial" w:eastAsia="Times New Roman" w:hAnsi="Arial" w:cs="Times New Roman"/>
      <w:bCs/>
      <w:iCs/>
      <w:szCs w:val="26"/>
      <w:lang w:val="en-US"/>
    </w:rPr>
  </w:style>
  <w:style w:type="character" w:customStyle="1" w:styleId="Heading6Char">
    <w:name w:val="Heading 6 Char"/>
    <w:basedOn w:val="DefaultParagraphFont"/>
    <w:link w:val="Heading6"/>
    <w:rsid w:val="009F57F2"/>
    <w:rPr>
      <w:rFonts w:ascii="Arial" w:eastAsia="Times New Roman" w:hAnsi="Arial" w:cs="Times New Roman"/>
      <w:bCs/>
      <w:lang w:val="en-US"/>
    </w:rPr>
  </w:style>
  <w:style w:type="character" w:customStyle="1" w:styleId="Heading7Char">
    <w:name w:val="Heading 7 Char"/>
    <w:basedOn w:val="DefaultParagraphFont"/>
    <w:link w:val="Heading7"/>
    <w:rsid w:val="009F57F2"/>
    <w:rPr>
      <w:rFonts w:ascii="Arial" w:eastAsia="Times New Roman" w:hAnsi="Arial" w:cs="Times New Roman"/>
      <w:szCs w:val="24"/>
      <w:lang w:val="en-US"/>
    </w:rPr>
  </w:style>
  <w:style w:type="character" w:customStyle="1" w:styleId="Heading8Char">
    <w:name w:val="Heading 8 Char"/>
    <w:basedOn w:val="DefaultParagraphFont"/>
    <w:link w:val="Heading8"/>
    <w:rsid w:val="009F57F2"/>
    <w:rPr>
      <w:rFonts w:ascii="Arial" w:eastAsia="Times New Roman" w:hAnsi="Arial" w:cs="Times New Roman"/>
      <w:iCs/>
      <w:szCs w:val="24"/>
      <w:lang w:val="en-US"/>
    </w:rPr>
  </w:style>
  <w:style w:type="character" w:customStyle="1" w:styleId="Heading9Char">
    <w:name w:val="Heading 9 Char"/>
    <w:basedOn w:val="DefaultParagraphFont"/>
    <w:link w:val="Heading9"/>
    <w:rsid w:val="009F57F2"/>
    <w:rPr>
      <w:rFonts w:ascii="Arial" w:eastAsia="Times New Roman"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DA5"/>
  </w:style>
  <w:style w:type="paragraph" w:styleId="Heading1">
    <w:name w:val="heading 1"/>
    <w:aliases w:val="NZSF Heading 1"/>
    <w:basedOn w:val="Normal"/>
    <w:link w:val="Heading1Char"/>
    <w:qFormat/>
    <w:rsid w:val="009F57F2"/>
    <w:pPr>
      <w:numPr>
        <w:numId w:val="1"/>
      </w:numPr>
      <w:spacing w:before="120" w:after="120" w:line="240" w:lineRule="auto"/>
      <w:outlineLvl w:val="0"/>
    </w:pPr>
    <w:rPr>
      <w:rFonts w:ascii="Arial" w:eastAsia="Times New Roman" w:hAnsi="Arial" w:cs="Arial"/>
      <w:b/>
      <w:bCs/>
      <w:kern w:val="32"/>
      <w:szCs w:val="32"/>
      <w:lang w:val="en-US"/>
    </w:rPr>
  </w:style>
  <w:style w:type="paragraph" w:styleId="Heading2">
    <w:name w:val="heading 2"/>
    <w:basedOn w:val="Normal"/>
    <w:link w:val="Heading2Char"/>
    <w:qFormat/>
    <w:rsid w:val="009F57F2"/>
    <w:pPr>
      <w:numPr>
        <w:ilvl w:val="1"/>
        <w:numId w:val="1"/>
      </w:numPr>
      <w:spacing w:before="120" w:after="120" w:line="240" w:lineRule="auto"/>
      <w:jc w:val="both"/>
      <w:outlineLvl w:val="1"/>
    </w:pPr>
    <w:rPr>
      <w:rFonts w:ascii="Arial" w:eastAsia="Times New Roman" w:hAnsi="Arial" w:cs="Arial"/>
      <w:bCs/>
      <w:iCs/>
      <w:szCs w:val="28"/>
      <w:lang w:val="en-US"/>
    </w:rPr>
  </w:style>
  <w:style w:type="paragraph" w:styleId="Heading3">
    <w:name w:val="heading 3"/>
    <w:aliases w:val="NZSF Heading 3"/>
    <w:basedOn w:val="Normal"/>
    <w:link w:val="Heading3Char"/>
    <w:qFormat/>
    <w:rsid w:val="009F57F2"/>
    <w:pPr>
      <w:numPr>
        <w:ilvl w:val="2"/>
        <w:numId w:val="1"/>
      </w:numPr>
      <w:spacing w:before="120" w:after="120" w:line="240" w:lineRule="auto"/>
      <w:jc w:val="both"/>
      <w:outlineLvl w:val="2"/>
    </w:pPr>
    <w:rPr>
      <w:rFonts w:ascii="Arial" w:eastAsia="Times New Roman" w:hAnsi="Arial" w:cs="Arial"/>
      <w:bCs/>
      <w:lang w:val="en-US"/>
    </w:rPr>
  </w:style>
  <w:style w:type="paragraph" w:styleId="Heading4">
    <w:name w:val="heading 4"/>
    <w:basedOn w:val="Normal"/>
    <w:link w:val="Heading4Char"/>
    <w:qFormat/>
    <w:rsid w:val="009F57F2"/>
    <w:pPr>
      <w:numPr>
        <w:ilvl w:val="3"/>
        <w:numId w:val="1"/>
      </w:numPr>
      <w:spacing w:before="120" w:after="120" w:line="240" w:lineRule="auto"/>
      <w:outlineLvl w:val="3"/>
    </w:pPr>
    <w:rPr>
      <w:rFonts w:ascii="Arial" w:eastAsia="Times New Roman" w:hAnsi="Arial" w:cs="Times New Roman"/>
      <w:bCs/>
      <w:szCs w:val="28"/>
      <w:lang w:val="en-US"/>
    </w:rPr>
  </w:style>
  <w:style w:type="paragraph" w:styleId="Heading5">
    <w:name w:val="heading 5"/>
    <w:basedOn w:val="Normal"/>
    <w:next w:val="Normal"/>
    <w:link w:val="Heading5Char"/>
    <w:qFormat/>
    <w:rsid w:val="009F57F2"/>
    <w:pPr>
      <w:numPr>
        <w:ilvl w:val="4"/>
        <w:numId w:val="1"/>
      </w:numPr>
      <w:spacing w:before="240" w:after="60" w:line="240" w:lineRule="auto"/>
      <w:outlineLvl w:val="4"/>
    </w:pPr>
    <w:rPr>
      <w:rFonts w:ascii="Arial" w:eastAsia="Times New Roman" w:hAnsi="Arial" w:cs="Times New Roman"/>
      <w:bCs/>
      <w:iCs/>
      <w:szCs w:val="26"/>
      <w:lang w:val="en-US"/>
    </w:rPr>
  </w:style>
  <w:style w:type="paragraph" w:styleId="Heading6">
    <w:name w:val="heading 6"/>
    <w:basedOn w:val="Normal"/>
    <w:next w:val="Normal"/>
    <w:link w:val="Heading6Char"/>
    <w:qFormat/>
    <w:rsid w:val="009F57F2"/>
    <w:pPr>
      <w:numPr>
        <w:ilvl w:val="5"/>
        <w:numId w:val="1"/>
      </w:numPr>
      <w:spacing w:before="240" w:after="60" w:line="240" w:lineRule="auto"/>
      <w:outlineLvl w:val="5"/>
    </w:pPr>
    <w:rPr>
      <w:rFonts w:ascii="Arial" w:eastAsia="Times New Roman" w:hAnsi="Arial" w:cs="Times New Roman"/>
      <w:bCs/>
      <w:lang w:val="en-US"/>
    </w:rPr>
  </w:style>
  <w:style w:type="paragraph" w:styleId="Heading7">
    <w:name w:val="heading 7"/>
    <w:basedOn w:val="Normal"/>
    <w:next w:val="Normal"/>
    <w:link w:val="Heading7Char"/>
    <w:qFormat/>
    <w:rsid w:val="009F57F2"/>
    <w:pPr>
      <w:numPr>
        <w:ilvl w:val="6"/>
        <w:numId w:val="1"/>
      </w:numPr>
      <w:spacing w:before="240" w:after="60" w:line="240" w:lineRule="auto"/>
      <w:outlineLvl w:val="6"/>
    </w:pPr>
    <w:rPr>
      <w:rFonts w:ascii="Arial" w:eastAsia="Times New Roman" w:hAnsi="Arial" w:cs="Times New Roman"/>
      <w:szCs w:val="24"/>
      <w:lang w:val="en-US"/>
    </w:rPr>
  </w:style>
  <w:style w:type="paragraph" w:styleId="Heading8">
    <w:name w:val="heading 8"/>
    <w:basedOn w:val="Normal"/>
    <w:next w:val="Normal"/>
    <w:link w:val="Heading8Char"/>
    <w:qFormat/>
    <w:rsid w:val="009F57F2"/>
    <w:pPr>
      <w:numPr>
        <w:ilvl w:val="7"/>
        <w:numId w:val="1"/>
      </w:numPr>
      <w:spacing w:before="240" w:after="60" w:line="240" w:lineRule="auto"/>
      <w:outlineLvl w:val="7"/>
    </w:pPr>
    <w:rPr>
      <w:rFonts w:ascii="Arial" w:eastAsia="Times New Roman" w:hAnsi="Arial" w:cs="Times New Roman"/>
      <w:iCs/>
      <w:szCs w:val="24"/>
      <w:lang w:val="en-US"/>
    </w:rPr>
  </w:style>
  <w:style w:type="paragraph" w:styleId="Heading9">
    <w:name w:val="heading 9"/>
    <w:basedOn w:val="Normal"/>
    <w:next w:val="Normal"/>
    <w:link w:val="Heading9Char"/>
    <w:qFormat/>
    <w:rsid w:val="009F57F2"/>
    <w:pPr>
      <w:numPr>
        <w:ilvl w:val="8"/>
        <w:numId w:val="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14C"/>
  </w:style>
  <w:style w:type="paragraph" w:styleId="Footer">
    <w:name w:val="footer"/>
    <w:basedOn w:val="Normal"/>
    <w:link w:val="FooterChar"/>
    <w:uiPriority w:val="99"/>
    <w:unhideWhenUsed/>
    <w:rsid w:val="00271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14C"/>
  </w:style>
  <w:style w:type="paragraph" w:styleId="PlainText">
    <w:name w:val="Plain Text"/>
    <w:basedOn w:val="Normal"/>
    <w:link w:val="PlainTextChar"/>
    <w:uiPriority w:val="99"/>
    <w:unhideWhenUsed/>
    <w:rsid w:val="00173F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73F41"/>
    <w:rPr>
      <w:rFonts w:ascii="Calibri" w:hAnsi="Calibri"/>
      <w:szCs w:val="21"/>
    </w:rPr>
  </w:style>
  <w:style w:type="paragraph" w:styleId="BodyText">
    <w:name w:val="Body Text"/>
    <w:basedOn w:val="Normal"/>
    <w:link w:val="BodyTextChar"/>
    <w:qFormat/>
    <w:rsid w:val="00251742"/>
    <w:pPr>
      <w:spacing w:after="240" w:line="240" w:lineRule="auto"/>
    </w:pPr>
    <w:rPr>
      <w:rFonts w:ascii="Times New Roman" w:eastAsia="Times New Roman" w:hAnsi="Times New Roman" w:cs="Times New Roman"/>
      <w:kern w:val="24"/>
      <w:sz w:val="24"/>
      <w:szCs w:val="24"/>
      <w:lang w:val="en-US" w:eastAsia="zh-CN"/>
    </w:rPr>
  </w:style>
  <w:style w:type="character" w:customStyle="1" w:styleId="BodyTextChar">
    <w:name w:val="Body Text Char"/>
    <w:basedOn w:val="DefaultParagraphFont"/>
    <w:link w:val="BodyText"/>
    <w:rsid w:val="00251742"/>
    <w:rPr>
      <w:rFonts w:ascii="Times New Roman" w:eastAsia="Times New Roman" w:hAnsi="Times New Roman" w:cs="Times New Roman"/>
      <w:kern w:val="24"/>
      <w:sz w:val="24"/>
      <w:szCs w:val="24"/>
      <w:lang w:val="en-US" w:eastAsia="zh-CN"/>
    </w:rPr>
  </w:style>
  <w:style w:type="character" w:styleId="FootnoteReference">
    <w:name w:val="footnote reference"/>
    <w:basedOn w:val="DefaultParagraphFont"/>
    <w:rsid w:val="00251742"/>
    <w:rPr>
      <w:vertAlign w:val="superscript"/>
    </w:rPr>
  </w:style>
  <w:style w:type="paragraph" w:styleId="FootnoteText">
    <w:name w:val="footnote text"/>
    <w:basedOn w:val="Normal"/>
    <w:link w:val="FootnoteTextChar"/>
    <w:rsid w:val="00251742"/>
    <w:pPr>
      <w:spacing w:before="60" w:after="60" w:line="240" w:lineRule="auto"/>
      <w:ind w:firstLine="720"/>
    </w:pPr>
    <w:rPr>
      <w:rFonts w:ascii="Times New Roman" w:eastAsia="Times New Roman" w:hAnsi="Times New Roman" w:cs="Times New Roman"/>
      <w:kern w:val="24"/>
      <w:sz w:val="20"/>
      <w:szCs w:val="20"/>
      <w:lang w:val="en-US" w:eastAsia="zh-CN"/>
    </w:rPr>
  </w:style>
  <w:style w:type="character" w:customStyle="1" w:styleId="FootnoteTextChar">
    <w:name w:val="Footnote Text Char"/>
    <w:basedOn w:val="DefaultParagraphFont"/>
    <w:link w:val="FootnoteText"/>
    <w:rsid w:val="00251742"/>
    <w:rPr>
      <w:rFonts w:ascii="Times New Roman" w:eastAsia="Times New Roman" w:hAnsi="Times New Roman" w:cs="Times New Roman"/>
      <w:kern w:val="24"/>
      <w:sz w:val="20"/>
      <w:szCs w:val="20"/>
      <w:lang w:val="en-US" w:eastAsia="zh-CN"/>
    </w:rPr>
  </w:style>
  <w:style w:type="table" w:styleId="TableGrid">
    <w:name w:val="Table Grid"/>
    <w:basedOn w:val="TableNormal"/>
    <w:uiPriority w:val="59"/>
    <w:rsid w:val="00642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D3401"/>
    <w:rPr>
      <w:sz w:val="16"/>
      <w:szCs w:val="16"/>
    </w:rPr>
  </w:style>
  <w:style w:type="paragraph" w:styleId="CommentText">
    <w:name w:val="annotation text"/>
    <w:basedOn w:val="Normal"/>
    <w:link w:val="CommentTextChar"/>
    <w:uiPriority w:val="99"/>
    <w:semiHidden/>
    <w:unhideWhenUsed/>
    <w:rsid w:val="00FD3401"/>
    <w:pPr>
      <w:spacing w:line="240" w:lineRule="auto"/>
    </w:pPr>
    <w:rPr>
      <w:sz w:val="20"/>
      <w:szCs w:val="20"/>
    </w:rPr>
  </w:style>
  <w:style w:type="character" w:customStyle="1" w:styleId="CommentTextChar">
    <w:name w:val="Comment Text Char"/>
    <w:basedOn w:val="DefaultParagraphFont"/>
    <w:link w:val="CommentText"/>
    <w:uiPriority w:val="99"/>
    <w:semiHidden/>
    <w:rsid w:val="00FD3401"/>
    <w:rPr>
      <w:sz w:val="20"/>
      <w:szCs w:val="20"/>
    </w:rPr>
  </w:style>
  <w:style w:type="paragraph" w:styleId="CommentSubject">
    <w:name w:val="annotation subject"/>
    <w:basedOn w:val="CommentText"/>
    <w:next w:val="CommentText"/>
    <w:link w:val="CommentSubjectChar"/>
    <w:uiPriority w:val="99"/>
    <w:semiHidden/>
    <w:unhideWhenUsed/>
    <w:rsid w:val="00FD3401"/>
    <w:rPr>
      <w:b/>
      <w:bCs/>
    </w:rPr>
  </w:style>
  <w:style w:type="character" w:customStyle="1" w:styleId="CommentSubjectChar">
    <w:name w:val="Comment Subject Char"/>
    <w:basedOn w:val="CommentTextChar"/>
    <w:link w:val="CommentSubject"/>
    <w:uiPriority w:val="99"/>
    <w:semiHidden/>
    <w:rsid w:val="00FD3401"/>
    <w:rPr>
      <w:b/>
      <w:bCs/>
      <w:sz w:val="20"/>
      <w:szCs w:val="20"/>
    </w:rPr>
  </w:style>
  <w:style w:type="paragraph" w:styleId="BalloonText">
    <w:name w:val="Balloon Text"/>
    <w:basedOn w:val="Normal"/>
    <w:link w:val="BalloonTextChar"/>
    <w:uiPriority w:val="99"/>
    <w:semiHidden/>
    <w:unhideWhenUsed/>
    <w:rsid w:val="00FD340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FD3401"/>
    <w:rPr>
      <w:rFonts w:cs="Tahoma"/>
      <w:sz w:val="16"/>
      <w:szCs w:val="16"/>
    </w:rPr>
  </w:style>
  <w:style w:type="character" w:customStyle="1" w:styleId="Heading1Char">
    <w:name w:val="Heading 1 Char"/>
    <w:aliases w:val="NZSF Heading 1 Char"/>
    <w:basedOn w:val="DefaultParagraphFont"/>
    <w:link w:val="Heading1"/>
    <w:rsid w:val="009F57F2"/>
    <w:rPr>
      <w:rFonts w:ascii="Arial" w:eastAsia="Times New Roman" w:hAnsi="Arial" w:cs="Arial"/>
      <w:b/>
      <w:bCs/>
      <w:kern w:val="32"/>
      <w:szCs w:val="32"/>
      <w:lang w:val="en-US"/>
    </w:rPr>
  </w:style>
  <w:style w:type="character" w:customStyle="1" w:styleId="Heading2Char">
    <w:name w:val="Heading 2 Char"/>
    <w:basedOn w:val="DefaultParagraphFont"/>
    <w:link w:val="Heading2"/>
    <w:rsid w:val="009F57F2"/>
    <w:rPr>
      <w:rFonts w:ascii="Arial" w:eastAsia="Times New Roman" w:hAnsi="Arial" w:cs="Arial"/>
      <w:bCs/>
      <w:iCs/>
      <w:szCs w:val="28"/>
      <w:lang w:val="en-US"/>
    </w:rPr>
  </w:style>
  <w:style w:type="character" w:customStyle="1" w:styleId="Heading3Char">
    <w:name w:val="Heading 3 Char"/>
    <w:aliases w:val="NZSF Heading 3 Char"/>
    <w:basedOn w:val="DefaultParagraphFont"/>
    <w:link w:val="Heading3"/>
    <w:rsid w:val="009F57F2"/>
    <w:rPr>
      <w:rFonts w:ascii="Arial" w:eastAsia="Times New Roman" w:hAnsi="Arial" w:cs="Arial"/>
      <w:bCs/>
      <w:lang w:val="en-US"/>
    </w:rPr>
  </w:style>
  <w:style w:type="character" w:customStyle="1" w:styleId="Heading4Char">
    <w:name w:val="Heading 4 Char"/>
    <w:basedOn w:val="DefaultParagraphFont"/>
    <w:link w:val="Heading4"/>
    <w:rsid w:val="009F57F2"/>
    <w:rPr>
      <w:rFonts w:ascii="Arial" w:eastAsia="Times New Roman" w:hAnsi="Arial" w:cs="Times New Roman"/>
      <w:bCs/>
      <w:szCs w:val="28"/>
      <w:lang w:val="en-US"/>
    </w:rPr>
  </w:style>
  <w:style w:type="character" w:customStyle="1" w:styleId="Heading5Char">
    <w:name w:val="Heading 5 Char"/>
    <w:basedOn w:val="DefaultParagraphFont"/>
    <w:link w:val="Heading5"/>
    <w:rsid w:val="009F57F2"/>
    <w:rPr>
      <w:rFonts w:ascii="Arial" w:eastAsia="Times New Roman" w:hAnsi="Arial" w:cs="Times New Roman"/>
      <w:bCs/>
      <w:iCs/>
      <w:szCs w:val="26"/>
      <w:lang w:val="en-US"/>
    </w:rPr>
  </w:style>
  <w:style w:type="character" w:customStyle="1" w:styleId="Heading6Char">
    <w:name w:val="Heading 6 Char"/>
    <w:basedOn w:val="DefaultParagraphFont"/>
    <w:link w:val="Heading6"/>
    <w:rsid w:val="009F57F2"/>
    <w:rPr>
      <w:rFonts w:ascii="Arial" w:eastAsia="Times New Roman" w:hAnsi="Arial" w:cs="Times New Roman"/>
      <w:bCs/>
      <w:lang w:val="en-US"/>
    </w:rPr>
  </w:style>
  <w:style w:type="character" w:customStyle="1" w:styleId="Heading7Char">
    <w:name w:val="Heading 7 Char"/>
    <w:basedOn w:val="DefaultParagraphFont"/>
    <w:link w:val="Heading7"/>
    <w:rsid w:val="009F57F2"/>
    <w:rPr>
      <w:rFonts w:ascii="Arial" w:eastAsia="Times New Roman" w:hAnsi="Arial" w:cs="Times New Roman"/>
      <w:szCs w:val="24"/>
      <w:lang w:val="en-US"/>
    </w:rPr>
  </w:style>
  <w:style w:type="character" w:customStyle="1" w:styleId="Heading8Char">
    <w:name w:val="Heading 8 Char"/>
    <w:basedOn w:val="DefaultParagraphFont"/>
    <w:link w:val="Heading8"/>
    <w:rsid w:val="009F57F2"/>
    <w:rPr>
      <w:rFonts w:ascii="Arial" w:eastAsia="Times New Roman" w:hAnsi="Arial" w:cs="Times New Roman"/>
      <w:iCs/>
      <w:szCs w:val="24"/>
      <w:lang w:val="en-US"/>
    </w:rPr>
  </w:style>
  <w:style w:type="character" w:customStyle="1" w:styleId="Heading9Char">
    <w:name w:val="Heading 9 Char"/>
    <w:basedOn w:val="DefaultParagraphFont"/>
    <w:link w:val="Heading9"/>
    <w:rsid w:val="009F57F2"/>
    <w:rPr>
      <w:rFonts w:ascii="Arial" w:eastAsia="Times New Roman" w:hAnsi="Arial" w:cs="Arial"/>
      <w:lang w:val="en-US"/>
    </w:rPr>
  </w:style>
</w:styles>
</file>

<file path=word/webSettings.xml><?xml version="1.0" encoding="utf-8"?>
<w:webSettings xmlns:r="http://schemas.openxmlformats.org/officeDocument/2006/relationships" xmlns:w="http://schemas.openxmlformats.org/wordprocessingml/2006/main">
  <w:divs>
    <w:div w:id="1708555887">
      <w:bodyDiv w:val="1"/>
      <w:marLeft w:val="0"/>
      <w:marRight w:val="0"/>
      <w:marTop w:val="0"/>
      <w:marBottom w:val="0"/>
      <w:divBdr>
        <w:top w:val="none" w:sz="0" w:space="0" w:color="auto"/>
        <w:left w:val="none" w:sz="0" w:space="0" w:color="auto"/>
        <w:bottom w:val="none" w:sz="0" w:space="0" w:color="auto"/>
        <w:right w:val="none" w:sz="0" w:space="0" w:color="auto"/>
      </w:divBdr>
    </w:div>
    <w:div w:id="1997537996">
      <w:bodyDiv w:val="1"/>
      <w:marLeft w:val="0"/>
      <w:marRight w:val="0"/>
      <w:marTop w:val="0"/>
      <w:marBottom w:val="0"/>
      <w:divBdr>
        <w:top w:val="none" w:sz="0" w:space="0" w:color="auto"/>
        <w:left w:val="none" w:sz="0" w:space="0" w:color="auto"/>
        <w:bottom w:val="none" w:sz="0" w:space="0" w:color="auto"/>
        <w:right w:val="none" w:sz="0" w:space="0" w:color="auto"/>
      </w:divBdr>
    </w:div>
    <w:div w:id="202231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ED8BC-CF62-4E71-8317-A5152A8E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New Zealand Superannuation Fund</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Etheredge</dc:creator>
  <cp:lastModifiedBy>BH</cp:lastModifiedBy>
  <cp:revision>2</cp:revision>
  <cp:lastPrinted>2015-02-18T20:43:00Z</cp:lastPrinted>
  <dcterms:created xsi:type="dcterms:W3CDTF">2015-02-19T01:19:00Z</dcterms:created>
  <dcterms:modified xsi:type="dcterms:W3CDTF">2015-02-19T01:19:00Z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_NUMBER">
    <vt:lpwstr/>
  </property>
  <property fmtid="{D5CDD505-2E9C-101B-9397-08002B2CF9AE}" pid="3" name="EDOCS_VERSION_NUMBER">
    <vt:lpwstr>5</vt:lpwstr>
  </property>
  <property fmtid="{D5CDD505-2E9C-101B-9397-08002B2CF9AE}" pid="4" name="EDOCS_DOCUMENT_NAME">
    <vt:lpwstr/>
  </property>
  <property fmtid="{D5CDD505-2E9C-101B-9397-08002B2CF9AE}" pid="5" name="EDOCS_AUTHOR_NAME">
    <vt:lpwstr/>
  </property>
  <property fmtid="{D5CDD505-2E9C-101B-9397-08002B2CF9AE}" pid="6" name="EDOCS_DOCUMENT_TYPE">
    <vt:lpwstr/>
  </property>
  <property fmtid="{D5CDD505-2E9C-101B-9397-08002B2CF9AE}" pid="7" name="EDOCS_LIBRARY">
    <vt:lpwstr>SUPERDOCS</vt:lpwstr>
  </property>
</Properties>
</file>